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BBB7" w14:textId="77777777" w:rsidR="00ED0101" w:rsidRPr="00F46D57" w:rsidRDefault="00ED0101" w:rsidP="00070230">
      <w:pPr>
        <w:spacing w:after="0" w:line="240" w:lineRule="auto"/>
        <w:rPr>
          <w:rFonts w:ascii="Browallia New" w:eastAsia="Batang" w:hAnsi="Browallia New" w:cs="Browallia New"/>
          <w:b/>
          <w:color w:val="0070C0"/>
          <w:sz w:val="72"/>
          <w:szCs w:val="72"/>
        </w:rPr>
      </w:pPr>
      <w:r w:rsidRPr="00F46D57">
        <w:rPr>
          <w:rFonts w:ascii="Browallia New" w:eastAsia="Batang" w:hAnsi="Browallia New" w:cs="Browallia New"/>
          <w:b/>
          <w:color w:val="0070C0"/>
          <w:sz w:val="72"/>
          <w:szCs w:val="72"/>
        </w:rPr>
        <w:t>2018</w:t>
      </w:r>
    </w:p>
    <w:p w14:paraId="3B9A47D4" w14:textId="77777777" w:rsidR="00ED0101" w:rsidRPr="00F46D57" w:rsidRDefault="00ED0101">
      <w:pPr>
        <w:rPr>
          <w:rFonts w:ascii="Browallia New" w:eastAsia="Batang" w:hAnsi="Browallia New" w:cs="Browallia New"/>
          <w:b/>
          <w:color w:val="0070C0"/>
          <w:sz w:val="72"/>
          <w:szCs w:val="72"/>
        </w:rPr>
      </w:pPr>
      <w:r w:rsidRPr="00F46D57">
        <w:rPr>
          <w:rFonts w:ascii="Browallia New" w:eastAsia="Batang" w:hAnsi="Browallia New" w:cs="Browallia New"/>
          <w:b/>
          <w:color w:val="0070C0"/>
          <w:sz w:val="72"/>
          <w:szCs w:val="72"/>
        </w:rPr>
        <w:t>THE STATE OF RISK OVERSIGHT</w:t>
      </w:r>
    </w:p>
    <w:p w14:paraId="28C25CAB" w14:textId="77777777" w:rsidR="00ED0101" w:rsidRPr="003B1178" w:rsidRDefault="00ED0101">
      <w:pPr>
        <w:rPr>
          <w:rFonts w:ascii="Browallia New" w:eastAsia="Batang" w:hAnsi="Browallia New" w:cs="Browallia New"/>
          <w:b/>
          <w:sz w:val="44"/>
          <w:szCs w:val="44"/>
        </w:rPr>
      </w:pPr>
      <w:r w:rsidRPr="003B1178">
        <w:rPr>
          <w:rFonts w:ascii="Browallia New" w:eastAsia="Batang" w:hAnsi="Browallia New" w:cs="Browallia New"/>
          <w:b/>
          <w:sz w:val="44"/>
          <w:szCs w:val="44"/>
        </w:rPr>
        <w:t>AN OVERVIEW OF ENTE</w:t>
      </w:r>
      <w:r w:rsidR="00515BDE" w:rsidRPr="003B1178">
        <w:rPr>
          <w:rFonts w:ascii="Browallia New" w:eastAsia="Batang" w:hAnsi="Browallia New" w:cs="Browallia New"/>
          <w:b/>
          <w:sz w:val="44"/>
          <w:szCs w:val="44"/>
        </w:rPr>
        <w:t>R</w:t>
      </w:r>
      <w:r w:rsidRPr="003B1178">
        <w:rPr>
          <w:rFonts w:ascii="Browallia New" w:eastAsia="Batang" w:hAnsi="Browallia New" w:cs="Browallia New"/>
          <w:b/>
          <w:sz w:val="44"/>
          <w:szCs w:val="44"/>
        </w:rPr>
        <w:t>PRISE RISK MANAGEMENT PRACTICES</w:t>
      </w:r>
    </w:p>
    <w:p w14:paraId="4369DEFE" w14:textId="77777777" w:rsidR="00ED0101" w:rsidRPr="00070230" w:rsidRDefault="00070230">
      <w:pPr>
        <w:rPr>
          <w:rFonts w:ascii="Browallia New" w:eastAsia="Batang" w:hAnsi="Browallia New" w:cs="Browallia New"/>
          <w:color w:val="595959" w:themeColor="text1" w:themeTint="A6"/>
          <w:sz w:val="36"/>
          <w:szCs w:val="36"/>
        </w:rPr>
      </w:pPr>
      <w:r w:rsidRPr="00070230">
        <w:rPr>
          <w:noProof/>
          <w:color w:val="595959" w:themeColor="text1" w:themeTint="A6"/>
        </w:rPr>
        <w:drawing>
          <wp:anchor distT="0" distB="0" distL="114300" distR="114300" simplePos="0" relativeHeight="251745280" behindDoc="0" locked="0" layoutInCell="1" allowOverlap="1" wp14:anchorId="2B471AE4" wp14:editId="61DF6535">
            <wp:simplePos x="0" y="0"/>
            <wp:positionH relativeFrom="column">
              <wp:posOffset>1028700</wp:posOffset>
            </wp:positionH>
            <wp:positionV relativeFrom="paragraph">
              <wp:posOffset>297180</wp:posOffset>
            </wp:positionV>
            <wp:extent cx="3154680" cy="4206240"/>
            <wp:effectExtent l="0" t="0" r="7620" b="3810"/>
            <wp:wrapSquare wrapText="bothSides"/>
            <wp:docPr id="142" name="Picture 142" descr="Stock vector of 'isolated abstract gear tree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ck vector of 'isolated abstract gear tree on whit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4206240"/>
                    </a:xfrm>
                    <a:prstGeom prst="rect">
                      <a:avLst/>
                    </a:prstGeom>
                    <a:noFill/>
                    <a:ln>
                      <a:noFill/>
                    </a:ln>
                  </pic:spPr>
                </pic:pic>
              </a:graphicData>
            </a:graphic>
          </wp:anchor>
        </w:drawing>
      </w:r>
      <w:r w:rsidR="00ED0101" w:rsidRPr="00070230">
        <w:rPr>
          <w:rFonts w:ascii="Browallia New" w:eastAsia="Batang" w:hAnsi="Browallia New" w:cs="Browallia New"/>
          <w:color w:val="595959" w:themeColor="text1" w:themeTint="A6"/>
          <w:sz w:val="36"/>
          <w:szCs w:val="36"/>
        </w:rPr>
        <w:t>9</w:t>
      </w:r>
      <w:r w:rsidR="00ED0101" w:rsidRPr="00070230">
        <w:rPr>
          <w:rFonts w:ascii="Browallia New" w:eastAsia="Batang" w:hAnsi="Browallia New" w:cs="Browallia New"/>
          <w:color w:val="595959" w:themeColor="text1" w:themeTint="A6"/>
          <w:sz w:val="36"/>
          <w:szCs w:val="36"/>
          <w:vertAlign w:val="superscript"/>
        </w:rPr>
        <w:t>TH</w:t>
      </w:r>
      <w:r w:rsidR="00ED0101" w:rsidRPr="00070230">
        <w:rPr>
          <w:rFonts w:ascii="Browallia New" w:eastAsia="Batang" w:hAnsi="Browallia New" w:cs="Browallia New"/>
          <w:color w:val="595959" w:themeColor="text1" w:themeTint="A6"/>
          <w:sz w:val="36"/>
          <w:szCs w:val="36"/>
        </w:rPr>
        <w:t xml:space="preserve"> EDITION | MARCH 2018</w:t>
      </w:r>
    </w:p>
    <w:p w14:paraId="4F9C8C11" w14:textId="77777777" w:rsidR="00070230" w:rsidRDefault="00070230">
      <w:pPr>
        <w:rPr>
          <w:rFonts w:ascii="Browallia New" w:eastAsia="Batang" w:hAnsi="Browallia New" w:cs="Browallia New"/>
          <w:color w:val="C00000"/>
          <w:sz w:val="36"/>
          <w:szCs w:val="36"/>
        </w:rPr>
      </w:pPr>
    </w:p>
    <w:p w14:paraId="43B64131" w14:textId="77777777" w:rsidR="00070230" w:rsidRDefault="00070230">
      <w:pPr>
        <w:rPr>
          <w:rFonts w:ascii="Browallia New" w:eastAsia="Batang" w:hAnsi="Browallia New" w:cs="Browallia New"/>
          <w:color w:val="C00000"/>
          <w:sz w:val="36"/>
          <w:szCs w:val="36"/>
        </w:rPr>
      </w:pPr>
    </w:p>
    <w:p w14:paraId="41EFC68C" w14:textId="77777777" w:rsidR="00070230" w:rsidRDefault="00070230">
      <w:pPr>
        <w:rPr>
          <w:rFonts w:ascii="Browallia New" w:eastAsia="Batang" w:hAnsi="Browallia New" w:cs="Browallia New"/>
          <w:color w:val="C00000"/>
          <w:sz w:val="36"/>
          <w:szCs w:val="36"/>
        </w:rPr>
      </w:pPr>
    </w:p>
    <w:p w14:paraId="26A0C938" w14:textId="77777777" w:rsidR="00070230" w:rsidRDefault="00070230">
      <w:pPr>
        <w:rPr>
          <w:rFonts w:ascii="Browallia New" w:eastAsia="Batang" w:hAnsi="Browallia New" w:cs="Browallia New"/>
          <w:color w:val="C00000"/>
          <w:sz w:val="36"/>
          <w:szCs w:val="36"/>
        </w:rPr>
      </w:pPr>
    </w:p>
    <w:p w14:paraId="01543374" w14:textId="77777777" w:rsidR="00070230" w:rsidRDefault="00070230" w:rsidP="00070230">
      <w:pPr>
        <w:rPr>
          <w:rFonts w:ascii="Browallia New" w:eastAsia="Batang" w:hAnsi="Browallia New" w:cs="Browallia New"/>
          <w:color w:val="C00000"/>
          <w:sz w:val="36"/>
          <w:szCs w:val="36"/>
        </w:rPr>
      </w:pPr>
    </w:p>
    <w:p w14:paraId="16468EE8" w14:textId="77777777" w:rsidR="00070230" w:rsidRDefault="00070230">
      <w:pPr>
        <w:rPr>
          <w:rFonts w:ascii="Browallia New" w:eastAsia="Batang" w:hAnsi="Browallia New" w:cs="Browallia New"/>
          <w:color w:val="C00000"/>
          <w:sz w:val="36"/>
          <w:szCs w:val="36"/>
        </w:rPr>
      </w:pPr>
    </w:p>
    <w:p w14:paraId="2BE522BD" w14:textId="77777777" w:rsidR="00070230" w:rsidRDefault="00070230">
      <w:pPr>
        <w:rPr>
          <w:rFonts w:ascii="Browallia New" w:eastAsia="Batang" w:hAnsi="Browallia New" w:cs="Browallia New"/>
          <w:color w:val="C00000"/>
          <w:sz w:val="36"/>
          <w:szCs w:val="36"/>
        </w:rPr>
      </w:pPr>
    </w:p>
    <w:p w14:paraId="10728471" w14:textId="77777777" w:rsidR="00070230" w:rsidRDefault="00070230">
      <w:pPr>
        <w:rPr>
          <w:rFonts w:ascii="Browallia New" w:eastAsia="Batang" w:hAnsi="Browallia New" w:cs="Browallia New"/>
          <w:color w:val="C00000"/>
          <w:sz w:val="36"/>
          <w:szCs w:val="36"/>
        </w:rPr>
      </w:pPr>
    </w:p>
    <w:p w14:paraId="144FA1BB" w14:textId="77777777" w:rsidR="00070230" w:rsidRDefault="00070230">
      <w:pPr>
        <w:rPr>
          <w:rFonts w:ascii="Browallia New" w:eastAsia="Batang" w:hAnsi="Browallia New" w:cs="Browallia New"/>
          <w:color w:val="C00000"/>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716"/>
        <w:gridCol w:w="3666"/>
      </w:tblGrid>
      <w:tr w:rsidR="003A52E5" w14:paraId="562DB983" w14:textId="77777777" w:rsidTr="00ED0101">
        <w:tc>
          <w:tcPr>
            <w:tcW w:w="3116" w:type="dxa"/>
          </w:tcPr>
          <w:p w14:paraId="4DFC4761" w14:textId="77777777" w:rsidR="00ED0101" w:rsidRPr="003B1178" w:rsidRDefault="00ED0101">
            <w:pPr>
              <w:rPr>
                <w:rFonts w:ascii="Browallia New" w:eastAsia="Batang" w:hAnsi="Browallia New" w:cs="Browallia New"/>
                <w:b/>
                <w:sz w:val="36"/>
                <w:szCs w:val="36"/>
              </w:rPr>
            </w:pPr>
            <w:r w:rsidRPr="003B1178">
              <w:rPr>
                <w:rFonts w:ascii="Browallia New" w:eastAsia="Batang" w:hAnsi="Browallia New" w:cs="Browallia New"/>
                <w:b/>
                <w:sz w:val="36"/>
                <w:szCs w:val="36"/>
              </w:rPr>
              <w:t>Mark Beasley</w:t>
            </w:r>
          </w:p>
        </w:tc>
        <w:tc>
          <w:tcPr>
            <w:tcW w:w="3117" w:type="dxa"/>
          </w:tcPr>
          <w:p w14:paraId="624B3E86" w14:textId="77777777" w:rsidR="00ED0101" w:rsidRPr="003B1178" w:rsidRDefault="00ED0101">
            <w:pPr>
              <w:rPr>
                <w:rFonts w:ascii="Browallia New" w:eastAsia="Batang" w:hAnsi="Browallia New" w:cs="Browallia New"/>
                <w:b/>
                <w:sz w:val="36"/>
                <w:szCs w:val="36"/>
              </w:rPr>
            </w:pPr>
            <w:r w:rsidRPr="003B1178">
              <w:rPr>
                <w:rFonts w:ascii="Browallia New" w:eastAsia="Batang" w:hAnsi="Browallia New" w:cs="Browallia New"/>
                <w:b/>
                <w:sz w:val="36"/>
                <w:szCs w:val="36"/>
              </w:rPr>
              <w:t>Bruce Branson</w:t>
            </w:r>
          </w:p>
        </w:tc>
        <w:tc>
          <w:tcPr>
            <w:tcW w:w="3117" w:type="dxa"/>
          </w:tcPr>
          <w:p w14:paraId="7BAA7A96" w14:textId="77777777" w:rsidR="00ED0101" w:rsidRPr="003B1178" w:rsidRDefault="00ED0101">
            <w:pPr>
              <w:rPr>
                <w:rFonts w:ascii="Browallia New" w:eastAsia="Batang" w:hAnsi="Browallia New" w:cs="Browallia New"/>
                <w:b/>
                <w:sz w:val="36"/>
                <w:szCs w:val="36"/>
              </w:rPr>
            </w:pPr>
            <w:r w:rsidRPr="003B1178">
              <w:rPr>
                <w:rFonts w:ascii="Browallia New" w:eastAsia="Batang" w:hAnsi="Browallia New" w:cs="Browallia New"/>
                <w:b/>
                <w:sz w:val="36"/>
                <w:szCs w:val="36"/>
              </w:rPr>
              <w:t>Bonnie Hancock</w:t>
            </w:r>
          </w:p>
        </w:tc>
      </w:tr>
      <w:tr w:rsidR="003A52E5" w14:paraId="3B6F1D1D" w14:textId="77777777" w:rsidTr="00ED0101">
        <w:tc>
          <w:tcPr>
            <w:tcW w:w="3116" w:type="dxa"/>
          </w:tcPr>
          <w:p w14:paraId="3332BB85" w14:textId="77777777" w:rsidR="00ED0101" w:rsidRPr="00E12ABA" w:rsidRDefault="00ED0101" w:rsidP="00902B35">
            <w:pPr>
              <w:spacing w:line="192" w:lineRule="auto"/>
              <w:rPr>
                <w:rFonts w:ascii="Browallia New" w:eastAsia="Batang" w:hAnsi="Browallia New" w:cs="Browallia New"/>
                <w:b/>
                <w:color w:val="0070C0"/>
                <w:sz w:val="24"/>
                <w:szCs w:val="24"/>
              </w:rPr>
            </w:pPr>
            <w:r w:rsidRPr="00E12ABA">
              <w:rPr>
                <w:rFonts w:ascii="Browallia New" w:eastAsia="Batang" w:hAnsi="Browallia New" w:cs="Browallia New"/>
                <w:b/>
                <w:color w:val="0070C0"/>
                <w:sz w:val="24"/>
                <w:szCs w:val="24"/>
              </w:rPr>
              <w:t>Deloitte Professor of ERM</w:t>
            </w:r>
          </w:p>
          <w:p w14:paraId="3C50AA7E" w14:textId="77777777" w:rsidR="00ED0101" w:rsidRPr="00E12ABA" w:rsidRDefault="00ED0101" w:rsidP="00902B35">
            <w:pPr>
              <w:spacing w:line="192" w:lineRule="auto"/>
              <w:rPr>
                <w:rFonts w:ascii="Browallia New" w:eastAsia="Batang" w:hAnsi="Browallia New" w:cs="Browallia New"/>
                <w:b/>
                <w:color w:val="0070C0"/>
                <w:sz w:val="24"/>
                <w:szCs w:val="24"/>
              </w:rPr>
            </w:pPr>
            <w:r w:rsidRPr="00E12ABA">
              <w:rPr>
                <w:rFonts w:ascii="Browallia New" w:eastAsia="Batang" w:hAnsi="Browallia New" w:cs="Browallia New"/>
                <w:b/>
                <w:color w:val="0070C0"/>
                <w:sz w:val="24"/>
                <w:szCs w:val="24"/>
              </w:rPr>
              <w:t>Director, ERM Initiative</w:t>
            </w:r>
          </w:p>
        </w:tc>
        <w:tc>
          <w:tcPr>
            <w:tcW w:w="3117" w:type="dxa"/>
          </w:tcPr>
          <w:p w14:paraId="7DA9810E" w14:textId="77777777" w:rsidR="00ED0101" w:rsidRPr="00E12ABA" w:rsidRDefault="00ED0101" w:rsidP="00902B35">
            <w:pPr>
              <w:spacing w:line="192" w:lineRule="auto"/>
              <w:rPr>
                <w:rFonts w:ascii="Browallia New" w:eastAsia="Batang" w:hAnsi="Browallia New" w:cs="Browallia New"/>
                <w:b/>
                <w:color w:val="0070C0"/>
                <w:sz w:val="24"/>
                <w:szCs w:val="24"/>
              </w:rPr>
            </w:pPr>
            <w:r w:rsidRPr="00E12ABA">
              <w:rPr>
                <w:rFonts w:ascii="Browallia New" w:eastAsia="Batang" w:hAnsi="Browallia New" w:cs="Browallia New"/>
                <w:b/>
                <w:color w:val="0070C0"/>
                <w:sz w:val="24"/>
                <w:szCs w:val="24"/>
              </w:rPr>
              <w:t>Associate Director, ERM Initiative</w:t>
            </w:r>
          </w:p>
        </w:tc>
        <w:tc>
          <w:tcPr>
            <w:tcW w:w="3117" w:type="dxa"/>
          </w:tcPr>
          <w:p w14:paraId="6AC8FBC1" w14:textId="77777777" w:rsidR="00ED0101" w:rsidRPr="00E12ABA" w:rsidRDefault="00ED0101" w:rsidP="00902B35">
            <w:pPr>
              <w:spacing w:line="192" w:lineRule="auto"/>
              <w:rPr>
                <w:rFonts w:ascii="Browallia New" w:eastAsia="Batang" w:hAnsi="Browallia New" w:cs="Browallia New"/>
                <w:b/>
                <w:color w:val="0070C0"/>
                <w:sz w:val="24"/>
                <w:szCs w:val="24"/>
              </w:rPr>
            </w:pPr>
            <w:r w:rsidRPr="00E12ABA">
              <w:rPr>
                <w:rFonts w:ascii="Browallia New" w:eastAsia="Batang" w:hAnsi="Browallia New" w:cs="Browallia New"/>
                <w:b/>
                <w:color w:val="0070C0"/>
                <w:sz w:val="24"/>
                <w:szCs w:val="24"/>
              </w:rPr>
              <w:t>Executive Director, ERM Initiative</w:t>
            </w:r>
          </w:p>
        </w:tc>
      </w:tr>
      <w:tr w:rsidR="003A52E5" w14:paraId="2707B3E3" w14:textId="77777777" w:rsidTr="00ED0101">
        <w:tc>
          <w:tcPr>
            <w:tcW w:w="3116" w:type="dxa"/>
          </w:tcPr>
          <w:p w14:paraId="30BCC112" w14:textId="77777777" w:rsidR="00070230" w:rsidRPr="00ED0101" w:rsidRDefault="003A52E5">
            <w:pPr>
              <w:rPr>
                <w:rFonts w:ascii="Browallia New" w:eastAsia="Batang" w:hAnsi="Browallia New" w:cs="Browallia New"/>
                <w:color w:val="C00000"/>
                <w:sz w:val="24"/>
                <w:szCs w:val="24"/>
              </w:rPr>
            </w:pPr>
            <w:r w:rsidRPr="003A52E5">
              <w:rPr>
                <w:rFonts w:ascii="Browallia New" w:eastAsia="Batang" w:hAnsi="Browallia New" w:cs="Browallia New"/>
                <w:noProof/>
                <w:color w:val="C00000"/>
                <w:sz w:val="24"/>
                <w:szCs w:val="24"/>
              </w:rPr>
              <w:drawing>
                <wp:anchor distT="0" distB="0" distL="114300" distR="114300" simplePos="0" relativeHeight="251760640" behindDoc="0" locked="0" layoutInCell="1" allowOverlap="1" wp14:anchorId="523A8DED" wp14:editId="4883C82F">
                  <wp:simplePos x="0" y="0"/>
                  <wp:positionH relativeFrom="column">
                    <wp:posOffset>0</wp:posOffset>
                  </wp:positionH>
                  <wp:positionV relativeFrom="paragraph">
                    <wp:posOffset>99060</wp:posOffset>
                  </wp:positionV>
                  <wp:extent cx="1417320" cy="513954"/>
                  <wp:effectExtent l="0" t="0" r="0" b="635"/>
                  <wp:wrapSquare wrapText="bothSides"/>
                  <wp:docPr id="8" name="Picture 8" descr="AIC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ICP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7320" cy="513954"/>
                          </a:xfrm>
                          <a:prstGeom prst="rect">
                            <a:avLst/>
                          </a:prstGeom>
                          <a:noFill/>
                          <a:ln>
                            <a:noFill/>
                          </a:ln>
                        </pic:spPr>
                      </pic:pic>
                    </a:graphicData>
                  </a:graphic>
                </wp:anchor>
              </w:drawing>
            </w:r>
          </w:p>
        </w:tc>
        <w:tc>
          <w:tcPr>
            <w:tcW w:w="3117" w:type="dxa"/>
          </w:tcPr>
          <w:p w14:paraId="544799B8" w14:textId="77777777" w:rsidR="00070230" w:rsidRPr="00ED0101" w:rsidRDefault="00070230">
            <w:pPr>
              <w:rPr>
                <w:rFonts w:ascii="Browallia New" w:eastAsia="Batang" w:hAnsi="Browallia New" w:cs="Browallia New"/>
                <w:color w:val="C00000"/>
                <w:sz w:val="24"/>
                <w:szCs w:val="24"/>
              </w:rPr>
            </w:pPr>
          </w:p>
        </w:tc>
        <w:tc>
          <w:tcPr>
            <w:tcW w:w="3117" w:type="dxa"/>
          </w:tcPr>
          <w:p w14:paraId="59E0FAF0" w14:textId="77777777" w:rsidR="00070230" w:rsidRPr="00ED0101" w:rsidRDefault="00902B35">
            <w:pPr>
              <w:rPr>
                <w:rFonts w:ascii="Browallia New" w:eastAsia="Batang" w:hAnsi="Browallia New" w:cs="Browallia New"/>
                <w:color w:val="C00000"/>
                <w:sz w:val="24"/>
                <w:szCs w:val="24"/>
              </w:rPr>
            </w:pPr>
            <w:r w:rsidRPr="00FA085D">
              <w:rPr>
                <w:rFonts w:ascii="Baskerville Old Face" w:hAnsi="Baskerville Old Face"/>
                <w:b/>
                <w:noProof/>
                <w:sz w:val="28"/>
                <w:szCs w:val="28"/>
              </w:rPr>
              <w:drawing>
                <wp:anchor distT="0" distB="0" distL="114300" distR="114300" simplePos="0" relativeHeight="251761664" behindDoc="0" locked="0" layoutInCell="1" allowOverlap="1" wp14:anchorId="26BC25B3" wp14:editId="006EC42E">
                  <wp:simplePos x="0" y="0"/>
                  <wp:positionH relativeFrom="column">
                    <wp:posOffset>-3810</wp:posOffset>
                  </wp:positionH>
                  <wp:positionV relativeFrom="paragraph">
                    <wp:posOffset>199406</wp:posOffset>
                  </wp:positionV>
                  <wp:extent cx="2181311" cy="414020"/>
                  <wp:effectExtent l="0" t="0" r="9525" b="5080"/>
                  <wp:wrapSquare wrapText="bothSides"/>
                  <wp:docPr id="143" name="image01.png" descr="NC State Poole College of Management Enterprise Risk Management Initiative logo"/>
                  <wp:cNvGraphicFramePr/>
                  <a:graphic xmlns:a="http://schemas.openxmlformats.org/drawingml/2006/main">
                    <a:graphicData uri="http://schemas.openxmlformats.org/drawingml/2006/picture">
                      <pic:pic xmlns:pic="http://schemas.openxmlformats.org/drawingml/2006/picture">
                        <pic:nvPicPr>
                          <pic:cNvPr id="143" name="image01.png" descr="NC State Poole College of Management Enterprise Risk Management Initiative logo"/>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181311" cy="414020"/>
                          </a:xfrm>
                          <a:prstGeom prst="rect">
                            <a:avLst/>
                          </a:prstGeom>
                          <a:ln/>
                        </pic:spPr>
                      </pic:pic>
                    </a:graphicData>
                  </a:graphic>
                </wp:anchor>
              </w:drawing>
            </w:r>
          </w:p>
        </w:tc>
      </w:tr>
    </w:tbl>
    <w:p w14:paraId="6D8CD81D" w14:textId="77777777" w:rsidR="00ED0101" w:rsidRDefault="00070230">
      <w:pPr>
        <w:rPr>
          <w:rFonts w:ascii="Browallia New" w:eastAsia="Batang" w:hAnsi="Browallia New" w:cs="Browallia New"/>
          <w:color w:val="C00000"/>
          <w:sz w:val="36"/>
          <w:szCs w:val="36"/>
        </w:rPr>
      </w:pPr>
      <w:r>
        <w:rPr>
          <w:rFonts w:ascii="Baskerville Old Face" w:hAnsi="Baskerville Old Face"/>
          <w:b/>
          <w:noProof/>
          <w:sz w:val="28"/>
          <w:szCs w:val="28"/>
        </w:rPr>
        <w:t xml:space="preserve">                                                 </w:t>
      </w:r>
      <w:r w:rsidR="00ED0101">
        <w:rPr>
          <w:rFonts w:ascii="Browallia New" w:eastAsia="Batang" w:hAnsi="Browallia New" w:cs="Browallia New"/>
          <w:color w:val="C00000"/>
          <w:sz w:val="36"/>
          <w:szCs w:val="36"/>
        </w:rPr>
        <w:br w:type="page"/>
      </w:r>
    </w:p>
    <w:p w14:paraId="4F4BC9C5" w14:textId="77777777" w:rsidR="00A83A38" w:rsidRPr="00F46D57" w:rsidRDefault="00347359" w:rsidP="00181B6D">
      <w:pPr>
        <w:pStyle w:val="Heading1"/>
        <w:rPr>
          <w:rFonts w:eastAsia="Batang"/>
        </w:rPr>
      </w:pPr>
      <w:proofErr w:type="gramStart"/>
      <w:r w:rsidRPr="00F46D57">
        <w:rPr>
          <w:rFonts w:eastAsia="Batang"/>
        </w:rPr>
        <w:lastRenderedPageBreak/>
        <w:t>O</w:t>
      </w:r>
      <w:r w:rsidR="00E12ABA">
        <w:rPr>
          <w:rFonts w:eastAsia="Batang"/>
        </w:rPr>
        <w:t>VERVIEW OF STUDY</w:t>
      </w:r>
      <w:proofErr w:type="gramEnd"/>
    </w:p>
    <w:p w14:paraId="29886083" w14:textId="77777777" w:rsidR="00BF0BE5" w:rsidRPr="00D820AD" w:rsidRDefault="0091752D" w:rsidP="00693F8F">
      <w:pPr>
        <w:spacing w:line="204" w:lineRule="auto"/>
        <w:jc w:val="both"/>
        <w:rPr>
          <w:rFonts w:ascii="Browallia New" w:eastAsia="Malgun Gothic" w:hAnsi="Browallia New" w:cs="Browallia New"/>
          <w:sz w:val="28"/>
          <w:szCs w:val="28"/>
        </w:rPr>
      </w:pPr>
      <w:r w:rsidRPr="00D820AD">
        <w:rPr>
          <w:rFonts w:ascii="Browallia New" w:eastAsia="Malgun Gothic" w:hAnsi="Browallia New" w:cs="Browallia New"/>
          <w:sz w:val="28"/>
          <w:szCs w:val="28"/>
        </w:rPr>
        <w:t>The highly dynamic global business environment</w:t>
      </w:r>
      <w:r w:rsidR="00E12ABA">
        <w:rPr>
          <w:rFonts w:ascii="Browallia New" w:eastAsia="Malgun Gothic" w:hAnsi="Browallia New" w:cs="Browallia New"/>
          <w:sz w:val="28"/>
          <w:szCs w:val="28"/>
        </w:rPr>
        <w:t>, combined with geopolitical shifts, rapidly emerging technologies</w:t>
      </w:r>
      <w:r w:rsidR="00845538">
        <w:rPr>
          <w:rFonts w:ascii="Browallia New" w:eastAsia="Malgun Gothic" w:hAnsi="Browallia New" w:cs="Browallia New"/>
          <w:sz w:val="28"/>
          <w:szCs w:val="28"/>
        </w:rPr>
        <w:t>, cyber threats, economic and financial market volatilities, tax reform and other emerging developments</w:t>
      </w:r>
      <w:r w:rsidRPr="00D820AD">
        <w:rPr>
          <w:rFonts w:ascii="Browallia New" w:eastAsia="Malgun Gothic" w:hAnsi="Browallia New" w:cs="Browallia New"/>
          <w:sz w:val="28"/>
          <w:szCs w:val="28"/>
        </w:rPr>
        <w:t xml:space="preserve"> create tremendous opportunities for organizations as they pursue </w:t>
      </w:r>
      <w:r w:rsidR="00845538">
        <w:rPr>
          <w:rFonts w:ascii="Browallia New" w:eastAsia="Malgun Gothic" w:hAnsi="Browallia New" w:cs="Browallia New"/>
          <w:sz w:val="28"/>
          <w:szCs w:val="28"/>
        </w:rPr>
        <w:t>growth and the advancement of their core mission</w:t>
      </w:r>
      <w:r w:rsidRPr="00D820AD">
        <w:rPr>
          <w:rFonts w:ascii="Browallia New" w:eastAsia="Malgun Gothic" w:hAnsi="Browallia New" w:cs="Browallia New"/>
          <w:sz w:val="28"/>
          <w:szCs w:val="28"/>
        </w:rPr>
        <w:t xml:space="preserve">. As business leaders manage the ever-changing economic, political, and technological </w:t>
      </w:r>
      <w:r w:rsidR="001B487A" w:rsidRPr="00D820AD">
        <w:rPr>
          <w:rFonts w:ascii="Browallia New" w:eastAsia="Malgun Gothic" w:hAnsi="Browallia New" w:cs="Browallia New"/>
          <w:sz w:val="28"/>
          <w:szCs w:val="28"/>
        </w:rPr>
        <w:t>landscape</w:t>
      </w:r>
      <w:r w:rsidRPr="00D820AD">
        <w:rPr>
          <w:rFonts w:ascii="Browallia New" w:eastAsia="Malgun Gothic" w:hAnsi="Browallia New" w:cs="Browallia New"/>
          <w:sz w:val="28"/>
          <w:szCs w:val="28"/>
        </w:rPr>
        <w:t xml:space="preserve"> they face an exponentially increasin</w:t>
      </w:r>
      <w:r w:rsidR="006B58A4" w:rsidRPr="00D820AD">
        <w:rPr>
          <w:rFonts w:ascii="Browallia New" w:eastAsia="Malgun Gothic" w:hAnsi="Browallia New" w:cs="Browallia New"/>
          <w:sz w:val="28"/>
          <w:szCs w:val="28"/>
        </w:rPr>
        <w:t xml:space="preserve">g range of uncertainty that creates a highly complex </w:t>
      </w:r>
      <w:r w:rsidR="001B487A" w:rsidRPr="00D820AD">
        <w:rPr>
          <w:rFonts w:ascii="Browallia New" w:eastAsia="Malgun Gothic" w:hAnsi="Browallia New" w:cs="Browallia New"/>
          <w:sz w:val="28"/>
          <w:szCs w:val="28"/>
        </w:rPr>
        <w:t>portfolio</w:t>
      </w:r>
      <w:r w:rsidR="006B58A4" w:rsidRPr="00D820AD">
        <w:rPr>
          <w:rFonts w:ascii="Browallia New" w:eastAsia="Malgun Gothic" w:hAnsi="Browallia New" w:cs="Browallia New"/>
          <w:sz w:val="28"/>
          <w:szCs w:val="28"/>
        </w:rPr>
        <w:t xml:space="preserve"> of potential risks that</w:t>
      </w:r>
      <w:r w:rsidR="001B487A" w:rsidRPr="00D820AD">
        <w:rPr>
          <w:rFonts w:ascii="Browallia New" w:eastAsia="Malgun Gothic" w:hAnsi="Browallia New" w:cs="Browallia New"/>
          <w:sz w:val="28"/>
          <w:szCs w:val="28"/>
        </w:rPr>
        <w:t>, if unmanaged,</w:t>
      </w:r>
      <w:r w:rsidR="006B58A4" w:rsidRPr="00D820AD">
        <w:rPr>
          <w:rFonts w:ascii="Browallia New" w:eastAsia="Malgun Gothic" w:hAnsi="Browallia New" w:cs="Browallia New"/>
          <w:sz w:val="28"/>
          <w:szCs w:val="28"/>
        </w:rPr>
        <w:t xml:space="preserve"> can cripple</w:t>
      </w:r>
      <w:r w:rsidR="007B2FC5">
        <w:rPr>
          <w:rFonts w:ascii="Browallia New" w:eastAsia="Malgun Gothic" w:hAnsi="Browallia New" w:cs="Browallia New"/>
          <w:sz w:val="28"/>
          <w:szCs w:val="28"/>
        </w:rPr>
        <w:t>, if not destroy,</w:t>
      </w:r>
      <w:r w:rsidR="006B58A4" w:rsidRPr="00D820AD">
        <w:rPr>
          <w:rFonts w:ascii="Browallia New" w:eastAsia="Malgun Gothic" w:hAnsi="Browallia New" w:cs="Browallia New"/>
          <w:sz w:val="28"/>
          <w:szCs w:val="28"/>
        </w:rPr>
        <w:t xml:space="preserve"> an organization’s business model and b</w:t>
      </w:r>
      <w:r w:rsidR="00C062F3" w:rsidRPr="00D820AD">
        <w:rPr>
          <w:rFonts w:ascii="Browallia New" w:eastAsia="Malgun Gothic" w:hAnsi="Browallia New" w:cs="Browallia New"/>
          <w:sz w:val="28"/>
          <w:szCs w:val="28"/>
        </w:rPr>
        <w:t xml:space="preserve">rand. </w:t>
      </w:r>
    </w:p>
    <w:p w14:paraId="6FEB422D" w14:textId="77777777" w:rsidR="001B487A" w:rsidRPr="00D820AD" w:rsidRDefault="007B2FC5" w:rsidP="00693F8F">
      <w:pPr>
        <w:spacing w:line="204" w:lineRule="auto"/>
        <w:jc w:val="both"/>
        <w:rPr>
          <w:rFonts w:ascii="Browallia New" w:hAnsi="Browallia New" w:cs="Browallia New"/>
          <w:sz w:val="28"/>
          <w:szCs w:val="28"/>
        </w:rPr>
      </w:pPr>
      <w:r>
        <w:rPr>
          <w:rFonts w:ascii="Browallia New" w:hAnsi="Browallia New" w:cs="Browallia New"/>
          <w:sz w:val="28"/>
          <w:szCs w:val="28"/>
        </w:rPr>
        <w:t>Some business leaders and other key stakeholders a</w:t>
      </w:r>
      <w:r w:rsidR="00845538">
        <w:rPr>
          <w:rFonts w:ascii="Browallia New" w:hAnsi="Browallia New" w:cs="Browallia New"/>
          <w:sz w:val="28"/>
          <w:szCs w:val="28"/>
        </w:rPr>
        <w:t>re re</w:t>
      </w:r>
      <w:r w:rsidR="00210BB3">
        <w:rPr>
          <w:rFonts w:ascii="Browallia New" w:hAnsi="Browallia New" w:cs="Browallia New"/>
          <w:sz w:val="28"/>
          <w:szCs w:val="28"/>
        </w:rPr>
        <w:t>cognizing</w:t>
      </w:r>
      <w:r w:rsidR="00845538">
        <w:rPr>
          <w:rFonts w:ascii="Browallia New" w:hAnsi="Browallia New" w:cs="Browallia New"/>
          <w:sz w:val="28"/>
          <w:szCs w:val="28"/>
        </w:rPr>
        <w:t xml:space="preserve"> </w:t>
      </w:r>
      <w:r>
        <w:rPr>
          <w:rFonts w:ascii="Browallia New" w:hAnsi="Browallia New" w:cs="Browallia New"/>
          <w:sz w:val="28"/>
          <w:szCs w:val="28"/>
        </w:rPr>
        <w:t xml:space="preserve">the increasing complexities and real-time challenges of navigating </w:t>
      </w:r>
      <w:r w:rsidR="00845538">
        <w:rPr>
          <w:rFonts w:ascii="Browallia New" w:hAnsi="Browallia New" w:cs="Browallia New"/>
          <w:sz w:val="28"/>
          <w:szCs w:val="28"/>
        </w:rPr>
        <w:t xml:space="preserve">potentially emerging risks as they seek to achieve key strategic goals and objectives. Many are investing more in how they proactively </w:t>
      </w:r>
      <w:r>
        <w:rPr>
          <w:rFonts w:ascii="Browallia New" w:hAnsi="Browallia New" w:cs="Browallia New"/>
          <w:sz w:val="28"/>
          <w:szCs w:val="28"/>
        </w:rPr>
        <w:t>manage</w:t>
      </w:r>
      <w:r w:rsidR="00845538">
        <w:rPr>
          <w:rFonts w:ascii="Browallia New" w:hAnsi="Browallia New" w:cs="Browallia New"/>
          <w:sz w:val="28"/>
          <w:szCs w:val="28"/>
        </w:rPr>
        <w:t xml:space="preserve"> potentially emerging risks by </w:t>
      </w:r>
      <w:r w:rsidR="006B58A4" w:rsidRPr="00D820AD">
        <w:rPr>
          <w:rFonts w:ascii="Browallia New" w:hAnsi="Browallia New" w:cs="Browallia New"/>
          <w:sz w:val="28"/>
          <w:szCs w:val="28"/>
        </w:rPr>
        <w:t>strengthening</w:t>
      </w:r>
      <w:r w:rsidR="00BD6CA3" w:rsidRPr="00D820AD">
        <w:rPr>
          <w:rFonts w:ascii="Browallia New" w:hAnsi="Browallia New" w:cs="Browallia New"/>
          <w:sz w:val="28"/>
          <w:szCs w:val="28"/>
        </w:rPr>
        <w:t xml:space="preserve"> </w:t>
      </w:r>
      <w:r w:rsidR="00845538">
        <w:rPr>
          <w:rFonts w:ascii="Browallia New" w:hAnsi="Browallia New" w:cs="Browallia New"/>
          <w:sz w:val="28"/>
          <w:szCs w:val="28"/>
        </w:rPr>
        <w:t>their</w:t>
      </w:r>
      <w:r w:rsidR="006B58A4" w:rsidRPr="00D820AD">
        <w:rPr>
          <w:rFonts w:ascii="Browallia New" w:hAnsi="Browallia New" w:cs="Browallia New"/>
          <w:sz w:val="28"/>
          <w:szCs w:val="28"/>
        </w:rPr>
        <w:t xml:space="preserve"> </w:t>
      </w:r>
      <w:r w:rsidR="00210BB3">
        <w:rPr>
          <w:rFonts w:ascii="Browallia New" w:hAnsi="Browallia New" w:cs="Browallia New"/>
          <w:sz w:val="28"/>
          <w:szCs w:val="28"/>
        </w:rPr>
        <w:t xml:space="preserve">organizations’ </w:t>
      </w:r>
      <w:r w:rsidR="006B58A4" w:rsidRPr="00D820AD">
        <w:rPr>
          <w:rFonts w:ascii="Browallia New" w:hAnsi="Browallia New" w:cs="Browallia New"/>
          <w:sz w:val="28"/>
          <w:szCs w:val="28"/>
        </w:rPr>
        <w:t xml:space="preserve">processes </w:t>
      </w:r>
      <w:r w:rsidR="00845538">
        <w:rPr>
          <w:rFonts w:ascii="Browallia New" w:hAnsi="Browallia New" w:cs="Browallia New"/>
          <w:sz w:val="28"/>
          <w:szCs w:val="28"/>
        </w:rPr>
        <w:t xml:space="preserve">surrounding </w:t>
      </w:r>
      <w:r>
        <w:rPr>
          <w:rFonts w:ascii="Browallia New" w:hAnsi="Browallia New" w:cs="Browallia New"/>
          <w:sz w:val="28"/>
          <w:szCs w:val="28"/>
        </w:rPr>
        <w:t>the</w:t>
      </w:r>
      <w:r w:rsidR="00845538">
        <w:rPr>
          <w:rFonts w:ascii="Browallia New" w:hAnsi="Browallia New" w:cs="Browallia New"/>
          <w:sz w:val="28"/>
          <w:szCs w:val="28"/>
        </w:rPr>
        <w:t xml:space="preserve"> i</w:t>
      </w:r>
      <w:r w:rsidR="006B58A4" w:rsidRPr="00D820AD">
        <w:rPr>
          <w:rFonts w:ascii="Browallia New" w:hAnsi="Browallia New" w:cs="Browallia New"/>
          <w:sz w:val="28"/>
          <w:szCs w:val="28"/>
        </w:rPr>
        <w:t>dentif</w:t>
      </w:r>
      <w:r w:rsidR="00845538">
        <w:rPr>
          <w:rFonts w:ascii="Browallia New" w:hAnsi="Browallia New" w:cs="Browallia New"/>
          <w:sz w:val="28"/>
          <w:szCs w:val="28"/>
        </w:rPr>
        <w:t>i</w:t>
      </w:r>
      <w:r>
        <w:rPr>
          <w:rFonts w:ascii="Browallia New" w:hAnsi="Browallia New" w:cs="Browallia New"/>
          <w:sz w:val="28"/>
          <w:szCs w:val="28"/>
        </w:rPr>
        <w:t>cation</w:t>
      </w:r>
      <w:r w:rsidR="006B58A4" w:rsidRPr="00D820AD">
        <w:rPr>
          <w:rFonts w:ascii="Browallia New" w:hAnsi="Browallia New" w:cs="Browallia New"/>
          <w:sz w:val="28"/>
          <w:szCs w:val="28"/>
        </w:rPr>
        <w:t>, assess</w:t>
      </w:r>
      <w:r>
        <w:rPr>
          <w:rFonts w:ascii="Browallia New" w:hAnsi="Browallia New" w:cs="Browallia New"/>
          <w:sz w:val="28"/>
          <w:szCs w:val="28"/>
        </w:rPr>
        <w:t>ment</w:t>
      </w:r>
      <w:r w:rsidR="006B58A4" w:rsidRPr="00D820AD">
        <w:rPr>
          <w:rFonts w:ascii="Browallia New" w:hAnsi="Browallia New" w:cs="Browallia New"/>
          <w:sz w:val="28"/>
          <w:szCs w:val="28"/>
        </w:rPr>
        <w:t>, manage</w:t>
      </w:r>
      <w:r>
        <w:rPr>
          <w:rFonts w:ascii="Browallia New" w:hAnsi="Browallia New" w:cs="Browallia New"/>
          <w:sz w:val="28"/>
          <w:szCs w:val="28"/>
        </w:rPr>
        <w:t>ment</w:t>
      </w:r>
      <w:r w:rsidR="006B58A4" w:rsidRPr="00D820AD">
        <w:rPr>
          <w:rFonts w:ascii="Browallia New" w:hAnsi="Browallia New" w:cs="Browallia New"/>
          <w:sz w:val="28"/>
          <w:szCs w:val="28"/>
        </w:rPr>
        <w:t>, and monitor</w:t>
      </w:r>
      <w:r>
        <w:rPr>
          <w:rFonts w:ascii="Browallia New" w:hAnsi="Browallia New" w:cs="Browallia New"/>
          <w:sz w:val="28"/>
          <w:szCs w:val="28"/>
        </w:rPr>
        <w:t xml:space="preserve">ing of </w:t>
      </w:r>
      <w:r w:rsidR="006B58A4" w:rsidRPr="00D820AD">
        <w:rPr>
          <w:rFonts w:ascii="Browallia New" w:hAnsi="Browallia New" w:cs="Browallia New"/>
          <w:sz w:val="28"/>
          <w:szCs w:val="28"/>
        </w:rPr>
        <w:t xml:space="preserve">those risks most likely to impact </w:t>
      </w:r>
      <w:r w:rsidR="001B487A" w:rsidRPr="00D820AD">
        <w:rPr>
          <w:rFonts w:ascii="Browallia New" w:eastAsia="Malgun Gothic" w:hAnsi="Browallia New" w:cs="Browallia New"/>
          <w:sz w:val="28"/>
          <w:szCs w:val="28"/>
        </w:rPr>
        <w:t xml:space="preserve">– both positively and negatively – the </w:t>
      </w:r>
      <w:r w:rsidR="00BD6CA3" w:rsidRPr="00D820AD">
        <w:rPr>
          <w:rFonts w:ascii="Browallia New" w:eastAsia="Malgun Gothic" w:hAnsi="Browallia New" w:cs="Browallia New"/>
          <w:sz w:val="28"/>
          <w:szCs w:val="28"/>
        </w:rPr>
        <w:t xml:space="preserve">entity’s </w:t>
      </w:r>
      <w:r w:rsidR="001B487A" w:rsidRPr="00D820AD">
        <w:rPr>
          <w:rFonts w:ascii="Browallia New" w:eastAsia="Malgun Gothic" w:hAnsi="Browallia New" w:cs="Browallia New"/>
          <w:sz w:val="28"/>
          <w:szCs w:val="28"/>
        </w:rPr>
        <w:t xml:space="preserve">strategic success. </w:t>
      </w:r>
      <w:proofErr w:type="gramStart"/>
      <w:r w:rsidR="001B487A" w:rsidRPr="00D820AD">
        <w:rPr>
          <w:rFonts w:ascii="Browallia New" w:eastAsia="Malgun Gothic" w:hAnsi="Browallia New" w:cs="Browallia New"/>
          <w:sz w:val="28"/>
          <w:szCs w:val="28"/>
        </w:rPr>
        <w:t>A number of</w:t>
      </w:r>
      <w:proofErr w:type="gramEnd"/>
      <w:r w:rsidR="001B487A" w:rsidRPr="00D820AD">
        <w:rPr>
          <w:rFonts w:ascii="Browallia New" w:eastAsia="Malgun Gothic" w:hAnsi="Browallia New" w:cs="Browallia New"/>
          <w:sz w:val="28"/>
          <w:szCs w:val="28"/>
        </w:rPr>
        <w:t xml:space="preserve"> </w:t>
      </w:r>
      <w:r w:rsidR="00210BB3">
        <w:rPr>
          <w:rFonts w:ascii="Browallia New" w:eastAsia="Malgun Gothic" w:hAnsi="Browallia New" w:cs="Browallia New"/>
          <w:sz w:val="28"/>
          <w:szCs w:val="28"/>
        </w:rPr>
        <w:t>organizations</w:t>
      </w:r>
      <w:r w:rsidR="001B487A" w:rsidRPr="00D820AD">
        <w:rPr>
          <w:rFonts w:ascii="Browallia New" w:eastAsia="Malgun Gothic" w:hAnsi="Browallia New" w:cs="Browallia New"/>
          <w:sz w:val="28"/>
          <w:szCs w:val="28"/>
        </w:rPr>
        <w:t xml:space="preserve"> have embraced the concept of e</w:t>
      </w:r>
      <w:r w:rsidR="00845538">
        <w:rPr>
          <w:rFonts w:ascii="Browallia New" w:eastAsia="Malgun Gothic" w:hAnsi="Browallia New" w:cs="Browallia New"/>
          <w:sz w:val="28"/>
          <w:szCs w:val="28"/>
        </w:rPr>
        <w:t xml:space="preserve">nterprise risk management (ERM), which is designed to provide an organization’s </w:t>
      </w:r>
      <w:r w:rsidR="001B487A" w:rsidRPr="00D820AD">
        <w:rPr>
          <w:rFonts w:ascii="Browallia New" w:hAnsi="Browallia New" w:cs="Browallia New"/>
          <w:sz w:val="28"/>
          <w:szCs w:val="28"/>
        </w:rPr>
        <w:t xml:space="preserve">board and senior </w:t>
      </w:r>
      <w:proofErr w:type="gramStart"/>
      <w:r w:rsidR="001B487A" w:rsidRPr="00D820AD">
        <w:rPr>
          <w:rFonts w:ascii="Browallia New" w:hAnsi="Browallia New" w:cs="Browallia New"/>
          <w:sz w:val="28"/>
          <w:szCs w:val="28"/>
        </w:rPr>
        <w:t>leaders</w:t>
      </w:r>
      <w:proofErr w:type="gramEnd"/>
      <w:r w:rsidR="001B487A" w:rsidRPr="00D820AD">
        <w:rPr>
          <w:rFonts w:ascii="Browallia New" w:hAnsi="Browallia New" w:cs="Browallia New"/>
          <w:sz w:val="28"/>
          <w:szCs w:val="28"/>
        </w:rPr>
        <w:t xml:space="preserve"> a top-down, strategic perspective </w:t>
      </w:r>
      <w:r w:rsidR="00845538">
        <w:rPr>
          <w:rFonts w:ascii="Browallia New" w:hAnsi="Browallia New" w:cs="Browallia New"/>
          <w:sz w:val="28"/>
          <w:szCs w:val="28"/>
        </w:rPr>
        <w:t>of risks on the horizon so that</w:t>
      </w:r>
      <w:r w:rsidR="001B487A" w:rsidRPr="00D820AD">
        <w:rPr>
          <w:rFonts w:ascii="Browallia New" w:hAnsi="Browallia New" w:cs="Browallia New"/>
          <w:sz w:val="28"/>
          <w:szCs w:val="28"/>
        </w:rPr>
        <w:t xml:space="preserve"> those risks can be managed proa</w:t>
      </w:r>
      <w:r w:rsidR="00845538">
        <w:rPr>
          <w:rFonts w:ascii="Browallia New" w:hAnsi="Browallia New" w:cs="Browallia New"/>
          <w:sz w:val="28"/>
          <w:szCs w:val="28"/>
        </w:rPr>
        <w:t xml:space="preserve">ctively </w:t>
      </w:r>
      <w:r w:rsidR="00693F8F">
        <w:rPr>
          <w:rFonts w:ascii="Browallia New" w:hAnsi="Browallia New" w:cs="Browallia New"/>
          <w:sz w:val="28"/>
          <w:szCs w:val="28"/>
        </w:rPr>
        <w:t xml:space="preserve">to increase the likelihood the organization will </w:t>
      </w:r>
      <w:r w:rsidR="001B487A" w:rsidRPr="00D820AD">
        <w:rPr>
          <w:rFonts w:ascii="Browallia New" w:hAnsi="Browallia New" w:cs="Browallia New"/>
          <w:sz w:val="28"/>
          <w:szCs w:val="28"/>
        </w:rPr>
        <w:t xml:space="preserve">achieve its core objectives. </w:t>
      </w:r>
    </w:p>
    <w:p w14:paraId="2F56A838" w14:textId="77777777" w:rsidR="00EC7AAD" w:rsidRPr="00D820AD" w:rsidRDefault="00D1428B" w:rsidP="00693F8F">
      <w:pPr>
        <w:spacing w:line="204" w:lineRule="auto"/>
        <w:jc w:val="both"/>
        <w:rPr>
          <w:rFonts w:ascii="Browallia New" w:hAnsi="Browallia New" w:cs="Browallia New"/>
          <w:sz w:val="28"/>
          <w:szCs w:val="28"/>
        </w:rPr>
      </w:pPr>
      <w:r w:rsidRPr="00D820AD">
        <w:rPr>
          <w:rFonts w:ascii="Browallia New" w:hAnsi="Browallia New" w:cs="Browallia New"/>
          <w:sz w:val="28"/>
          <w:szCs w:val="28"/>
        </w:rPr>
        <w:t>To obtain a</w:t>
      </w:r>
      <w:r w:rsidR="00C062F3" w:rsidRPr="00D820AD">
        <w:rPr>
          <w:rFonts w:ascii="Browallia New" w:hAnsi="Browallia New" w:cs="Browallia New"/>
          <w:sz w:val="28"/>
          <w:szCs w:val="28"/>
        </w:rPr>
        <w:t>n</w:t>
      </w:r>
      <w:r w:rsidRPr="00D820AD">
        <w:rPr>
          <w:rFonts w:ascii="Browallia New" w:hAnsi="Browallia New" w:cs="Browallia New"/>
          <w:sz w:val="28"/>
          <w:szCs w:val="28"/>
        </w:rPr>
        <w:t xml:space="preserve"> understanding of the </w:t>
      </w:r>
      <w:r w:rsidR="00000FA2" w:rsidRPr="00D820AD">
        <w:rPr>
          <w:rFonts w:ascii="Browallia New" w:hAnsi="Browallia New" w:cs="Browallia New"/>
          <w:sz w:val="28"/>
          <w:szCs w:val="28"/>
        </w:rPr>
        <w:t xml:space="preserve">current </w:t>
      </w:r>
      <w:r w:rsidRPr="00D820AD">
        <w:rPr>
          <w:rFonts w:ascii="Browallia New" w:hAnsi="Browallia New" w:cs="Browallia New"/>
          <w:sz w:val="28"/>
          <w:szCs w:val="28"/>
        </w:rPr>
        <w:t xml:space="preserve">state of enterprise risk oversight among entities of all types and sizes, we </w:t>
      </w:r>
      <w:r w:rsidR="00C062F3" w:rsidRPr="00D820AD">
        <w:rPr>
          <w:rFonts w:ascii="Browallia New" w:hAnsi="Browallia New" w:cs="Browallia New"/>
          <w:sz w:val="28"/>
          <w:szCs w:val="28"/>
        </w:rPr>
        <w:t xml:space="preserve">have partnered over the past </w:t>
      </w:r>
      <w:r w:rsidR="007B2FC5">
        <w:rPr>
          <w:rFonts w:ascii="Browallia New" w:hAnsi="Browallia New" w:cs="Browallia New"/>
          <w:sz w:val="28"/>
          <w:szCs w:val="28"/>
        </w:rPr>
        <w:t>nine</w:t>
      </w:r>
      <w:r w:rsidR="00C062F3" w:rsidRPr="00D820AD">
        <w:rPr>
          <w:rFonts w:ascii="Browallia New" w:hAnsi="Browallia New" w:cs="Browallia New"/>
          <w:sz w:val="28"/>
          <w:szCs w:val="28"/>
        </w:rPr>
        <w:t xml:space="preserve"> years with the </w:t>
      </w:r>
      <w:r w:rsidRPr="00D820AD">
        <w:rPr>
          <w:rFonts w:ascii="Browallia New" w:hAnsi="Browallia New" w:cs="Browallia New"/>
          <w:sz w:val="28"/>
          <w:szCs w:val="28"/>
        </w:rPr>
        <w:t xml:space="preserve">American Institute of Certified Public Accountants’ (AICPA) </w:t>
      </w:r>
      <w:r w:rsidR="007B2FC5">
        <w:rPr>
          <w:rFonts w:ascii="Browallia New" w:hAnsi="Browallia New" w:cs="Browallia New"/>
          <w:sz w:val="28"/>
          <w:szCs w:val="28"/>
        </w:rPr>
        <w:t xml:space="preserve">Management Accounting - </w:t>
      </w:r>
      <w:r w:rsidRPr="00D820AD">
        <w:rPr>
          <w:rFonts w:ascii="Browallia New" w:hAnsi="Browallia New" w:cs="Browallia New"/>
          <w:sz w:val="28"/>
          <w:szCs w:val="28"/>
        </w:rPr>
        <w:t>Business, Industry, and Government Team</w:t>
      </w:r>
      <w:r w:rsidR="00C062F3" w:rsidRPr="00D820AD">
        <w:rPr>
          <w:rFonts w:ascii="Browallia New" w:hAnsi="Browallia New" w:cs="Browallia New"/>
          <w:sz w:val="28"/>
          <w:szCs w:val="28"/>
        </w:rPr>
        <w:t xml:space="preserve"> to survey business leaders </w:t>
      </w:r>
      <w:r w:rsidR="007B2FC5">
        <w:rPr>
          <w:rFonts w:ascii="Browallia New" w:hAnsi="Browallia New" w:cs="Browallia New"/>
          <w:sz w:val="28"/>
          <w:szCs w:val="28"/>
        </w:rPr>
        <w:t>regarding</w:t>
      </w:r>
      <w:r w:rsidR="00C062F3" w:rsidRPr="00D820AD">
        <w:rPr>
          <w:rFonts w:ascii="Browallia New" w:hAnsi="Browallia New" w:cs="Browallia New"/>
          <w:sz w:val="28"/>
          <w:szCs w:val="28"/>
        </w:rPr>
        <w:t xml:space="preserve"> a number of characteristics related to the</w:t>
      </w:r>
      <w:r w:rsidR="00AD62B3" w:rsidRPr="00D820AD">
        <w:rPr>
          <w:rFonts w:ascii="Browallia New" w:hAnsi="Browallia New" w:cs="Browallia New"/>
          <w:sz w:val="28"/>
          <w:szCs w:val="28"/>
        </w:rPr>
        <w:t>ir</w:t>
      </w:r>
      <w:r w:rsidR="00C062F3" w:rsidRPr="00D820AD">
        <w:rPr>
          <w:rFonts w:ascii="Browallia New" w:hAnsi="Browallia New" w:cs="Browallia New"/>
          <w:sz w:val="28"/>
          <w:szCs w:val="28"/>
        </w:rPr>
        <w:t xml:space="preserve"> current enterprise-wide risk management efforts</w:t>
      </w:r>
      <w:r w:rsidRPr="00D820AD">
        <w:rPr>
          <w:rFonts w:ascii="Browallia New" w:hAnsi="Browallia New" w:cs="Browallia New"/>
          <w:sz w:val="28"/>
          <w:szCs w:val="28"/>
        </w:rPr>
        <w:t xml:space="preserve">. This is the </w:t>
      </w:r>
      <w:r w:rsidR="00693F8F">
        <w:rPr>
          <w:rFonts w:ascii="Browallia New" w:hAnsi="Browallia New" w:cs="Browallia New"/>
          <w:sz w:val="28"/>
          <w:szCs w:val="28"/>
        </w:rPr>
        <w:t>nin</w:t>
      </w:r>
      <w:r w:rsidR="00010898" w:rsidRPr="00D820AD">
        <w:rPr>
          <w:rFonts w:ascii="Browallia New" w:hAnsi="Browallia New" w:cs="Browallia New"/>
          <w:sz w:val="28"/>
          <w:szCs w:val="28"/>
        </w:rPr>
        <w:t>th</w:t>
      </w:r>
      <w:r w:rsidR="005639CE" w:rsidRPr="00D820AD">
        <w:rPr>
          <w:rFonts w:ascii="Browallia New" w:hAnsi="Browallia New" w:cs="Browallia New"/>
          <w:sz w:val="28"/>
          <w:szCs w:val="28"/>
        </w:rPr>
        <w:t xml:space="preserve"> </w:t>
      </w:r>
      <w:r w:rsidR="00765456" w:rsidRPr="00D820AD">
        <w:rPr>
          <w:rFonts w:ascii="Browallia New" w:hAnsi="Browallia New" w:cs="Browallia New"/>
          <w:sz w:val="28"/>
          <w:szCs w:val="28"/>
        </w:rPr>
        <w:t>report</w:t>
      </w:r>
      <w:r w:rsidR="005639CE" w:rsidRPr="00D820AD">
        <w:rPr>
          <w:rFonts w:ascii="Browallia New" w:hAnsi="Browallia New" w:cs="Browallia New"/>
          <w:sz w:val="28"/>
          <w:szCs w:val="28"/>
        </w:rPr>
        <w:t xml:space="preserve"> </w:t>
      </w:r>
      <w:r w:rsidRPr="00D820AD">
        <w:rPr>
          <w:rFonts w:ascii="Browallia New" w:hAnsi="Browallia New" w:cs="Browallia New"/>
          <w:sz w:val="28"/>
          <w:szCs w:val="28"/>
        </w:rPr>
        <w:t xml:space="preserve">that we have </w:t>
      </w:r>
      <w:r w:rsidR="00765456" w:rsidRPr="00D820AD">
        <w:rPr>
          <w:rFonts w:ascii="Browallia New" w:hAnsi="Browallia New" w:cs="Browallia New"/>
          <w:sz w:val="28"/>
          <w:szCs w:val="28"/>
        </w:rPr>
        <w:t>published summarizing our</w:t>
      </w:r>
      <w:r w:rsidRPr="00D820AD">
        <w:rPr>
          <w:rFonts w:ascii="Browallia New" w:hAnsi="Browallia New" w:cs="Browallia New"/>
          <w:sz w:val="28"/>
          <w:szCs w:val="28"/>
        </w:rPr>
        <w:t xml:space="preserve"> research in partnership with the AICPA. </w:t>
      </w:r>
    </w:p>
    <w:p w14:paraId="2A80272A" w14:textId="77777777" w:rsidR="00D1428B" w:rsidRDefault="00D1428B" w:rsidP="00693F8F">
      <w:pPr>
        <w:spacing w:line="204" w:lineRule="auto"/>
        <w:jc w:val="both"/>
        <w:rPr>
          <w:rFonts w:ascii="Browallia New" w:hAnsi="Browallia New" w:cs="Browallia New"/>
          <w:sz w:val="28"/>
          <w:szCs w:val="28"/>
        </w:rPr>
      </w:pPr>
      <w:r w:rsidRPr="00D820AD">
        <w:rPr>
          <w:rFonts w:ascii="Browallia New" w:hAnsi="Browallia New" w:cs="Browallia New"/>
          <w:sz w:val="28"/>
          <w:szCs w:val="28"/>
        </w:rPr>
        <w:t>Data was collected during</w:t>
      </w:r>
      <w:r w:rsidR="00516499" w:rsidRPr="00D820AD">
        <w:rPr>
          <w:rFonts w:ascii="Browallia New" w:hAnsi="Browallia New" w:cs="Browallia New"/>
          <w:sz w:val="28"/>
          <w:szCs w:val="28"/>
        </w:rPr>
        <w:t xml:space="preserve"> the fall of 2017 </w:t>
      </w:r>
      <w:r w:rsidRPr="00D820AD">
        <w:rPr>
          <w:rFonts w:ascii="Browallia New" w:hAnsi="Browallia New" w:cs="Browallia New"/>
          <w:sz w:val="28"/>
          <w:szCs w:val="28"/>
        </w:rPr>
        <w:t xml:space="preserve">through an online survey instrument electronically sent to members of the AICPA’s Business and Industry group who serve in chief financial officer or equivalent senior executive positions. In total, we </w:t>
      </w:r>
      <w:r w:rsidR="005D6EE6" w:rsidRPr="00D820AD">
        <w:rPr>
          <w:rFonts w:ascii="Browallia New" w:hAnsi="Browallia New" w:cs="Browallia New"/>
          <w:sz w:val="28"/>
          <w:szCs w:val="28"/>
        </w:rPr>
        <w:t xml:space="preserve">received </w:t>
      </w:r>
      <w:r w:rsidR="004F28E5" w:rsidRPr="00D820AD">
        <w:rPr>
          <w:rFonts w:ascii="Browallia New" w:hAnsi="Browallia New" w:cs="Browallia New"/>
          <w:sz w:val="28"/>
          <w:szCs w:val="28"/>
        </w:rPr>
        <w:t>4</w:t>
      </w:r>
      <w:r w:rsidR="005615A8" w:rsidRPr="00D820AD">
        <w:rPr>
          <w:rFonts w:ascii="Browallia New" w:hAnsi="Browallia New" w:cs="Browallia New"/>
          <w:sz w:val="28"/>
          <w:szCs w:val="28"/>
        </w:rPr>
        <w:t>74</w:t>
      </w:r>
      <w:r w:rsidR="00C062F3" w:rsidRPr="00D820AD">
        <w:rPr>
          <w:rFonts w:ascii="Browallia New" w:hAnsi="Browallia New" w:cs="Browallia New"/>
          <w:sz w:val="28"/>
          <w:szCs w:val="28"/>
        </w:rPr>
        <w:t xml:space="preserve"> </w:t>
      </w:r>
      <w:r w:rsidR="00C81ECD" w:rsidRPr="00D820AD">
        <w:rPr>
          <w:rFonts w:ascii="Browallia New" w:hAnsi="Browallia New" w:cs="Browallia New"/>
          <w:sz w:val="28"/>
          <w:szCs w:val="28"/>
        </w:rPr>
        <w:t xml:space="preserve">fully </w:t>
      </w:r>
      <w:r w:rsidR="00C062F3" w:rsidRPr="00D820AD">
        <w:rPr>
          <w:rFonts w:ascii="Browallia New" w:hAnsi="Browallia New" w:cs="Browallia New"/>
          <w:sz w:val="28"/>
          <w:szCs w:val="28"/>
        </w:rPr>
        <w:t>completed survey</w:t>
      </w:r>
      <w:r w:rsidR="00AD62B3" w:rsidRPr="00D820AD">
        <w:rPr>
          <w:rFonts w:ascii="Browallia New" w:hAnsi="Browallia New" w:cs="Browallia New"/>
          <w:sz w:val="28"/>
          <w:szCs w:val="28"/>
        </w:rPr>
        <w:t>s</w:t>
      </w:r>
      <w:r w:rsidR="00693F8F">
        <w:rPr>
          <w:rFonts w:ascii="Browallia New" w:hAnsi="Browallia New" w:cs="Browallia New"/>
          <w:sz w:val="28"/>
          <w:szCs w:val="28"/>
        </w:rPr>
        <w:t xml:space="preserve"> from individuals representing different sizes and types of organization</w:t>
      </w:r>
      <w:r w:rsidR="00D404E0">
        <w:rPr>
          <w:rFonts w:ascii="Browallia New" w:hAnsi="Browallia New" w:cs="Browallia New"/>
          <w:sz w:val="28"/>
          <w:szCs w:val="28"/>
        </w:rPr>
        <w:t>s</w:t>
      </w:r>
      <w:r w:rsidR="00207652">
        <w:rPr>
          <w:rFonts w:ascii="Browallia New" w:hAnsi="Browallia New" w:cs="Browallia New"/>
          <w:sz w:val="28"/>
          <w:szCs w:val="28"/>
        </w:rPr>
        <w:t xml:space="preserve"> (see </w:t>
      </w:r>
      <w:r w:rsidR="00207652" w:rsidRPr="00207652">
        <w:rPr>
          <w:rFonts w:ascii="Browallia New" w:hAnsi="Browallia New" w:cs="Browallia New"/>
          <w:b/>
          <w:sz w:val="28"/>
          <w:szCs w:val="28"/>
        </w:rPr>
        <w:t>Appendix A</w:t>
      </w:r>
      <w:r w:rsidR="00207652">
        <w:rPr>
          <w:rFonts w:ascii="Browallia New" w:hAnsi="Browallia New" w:cs="Browallia New"/>
          <w:sz w:val="28"/>
          <w:szCs w:val="28"/>
        </w:rPr>
        <w:t xml:space="preserve"> for details about respondents)</w:t>
      </w:r>
      <w:r w:rsidR="00BF0BE5" w:rsidRPr="00D820AD">
        <w:rPr>
          <w:rFonts w:ascii="Browallia New" w:hAnsi="Browallia New" w:cs="Browallia New"/>
          <w:sz w:val="28"/>
          <w:szCs w:val="28"/>
        </w:rPr>
        <w:t xml:space="preserve">. This </w:t>
      </w:r>
      <w:r w:rsidRPr="00D820AD">
        <w:rPr>
          <w:rFonts w:ascii="Browallia New" w:hAnsi="Browallia New" w:cs="Browallia New"/>
          <w:sz w:val="28"/>
          <w:szCs w:val="28"/>
        </w:rPr>
        <w:t>report summarizes our findings</w:t>
      </w:r>
      <w:r w:rsidR="00000FA2" w:rsidRPr="00D820AD">
        <w:rPr>
          <w:rFonts w:ascii="Browallia New" w:hAnsi="Browallia New" w:cs="Browallia New"/>
          <w:sz w:val="28"/>
          <w:szCs w:val="28"/>
        </w:rPr>
        <w:t xml:space="preserve"> and provides a resource for benchmarking an organization’s approach to risk oversight </w:t>
      </w:r>
      <w:proofErr w:type="gramStart"/>
      <w:r w:rsidR="00000FA2" w:rsidRPr="00D820AD">
        <w:rPr>
          <w:rFonts w:ascii="Browallia New" w:hAnsi="Browallia New" w:cs="Browallia New"/>
          <w:sz w:val="28"/>
          <w:szCs w:val="28"/>
        </w:rPr>
        <w:t>against</w:t>
      </w:r>
      <w:proofErr w:type="gramEnd"/>
      <w:r w:rsidR="00000FA2" w:rsidRPr="00D820AD">
        <w:rPr>
          <w:rFonts w:ascii="Browallia New" w:hAnsi="Browallia New" w:cs="Browallia New"/>
          <w:sz w:val="28"/>
          <w:szCs w:val="28"/>
        </w:rPr>
        <w:t xml:space="preserve"> current </w:t>
      </w:r>
      <w:r w:rsidR="00932419" w:rsidRPr="00D820AD">
        <w:rPr>
          <w:rFonts w:ascii="Browallia New" w:hAnsi="Browallia New" w:cs="Browallia New"/>
          <w:sz w:val="28"/>
          <w:szCs w:val="28"/>
        </w:rPr>
        <w:t>practices</w:t>
      </w:r>
      <w:r w:rsidRPr="00D820AD">
        <w:rPr>
          <w:rFonts w:ascii="Browallia New" w:hAnsi="Browallia New" w:cs="Browallia New"/>
          <w:sz w:val="28"/>
          <w:szCs w:val="28"/>
        </w:rPr>
        <w:t>.</w:t>
      </w:r>
      <w:r w:rsidR="00693F8F">
        <w:rPr>
          <w:rFonts w:ascii="Browallia New" w:hAnsi="Browallia New" w:cs="Browallia New"/>
          <w:sz w:val="28"/>
          <w:szCs w:val="28"/>
        </w:rPr>
        <w:t xml:space="preserve"> In addition to highlighting key findings for the full sample of </w:t>
      </w:r>
      <w:r w:rsidR="00693F8F" w:rsidRPr="00B511F9">
        <w:rPr>
          <w:rFonts w:ascii="Browallia New" w:hAnsi="Browallia New" w:cs="Browallia New"/>
          <w:b/>
          <w:sz w:val="28"/>
          <w:szCs w:val="28"/>
        </w:rPr>
        <w:t>474 respondents</w:t>
      </w:r>
      <w:r w:rsidR="00693F8F">
        <w:rPr>
          <w:rFonts w:ascii="Browallia New" w:hAnsi="Browallia New" w:cs="Browallia New"/>
          <w:sz w:val="28"/>
          <w:szCs w:val="28"/>
        </w:rPr>
        <w:t>, we also separately report many of the key findings for the following subgroups of respondents:</w:t>
      </w:r>
    </w:p>
    <w:p w14:paraId="116B404A" w14:textId="77777777" w:rsidR="00693F8F" w:rsidRDefault="00693F8F" w:rsidP="00693F8F">
      <w:pPr>
        <w:pStyle w:val="ListParagraph"/>
        <w:numPr>
          <w:ilvl w:val="0"/>
          <w:numId w:val="39"/>
        </w:numPr>
        <w:spacing w:line="204" w:lineRule="auto"/>
        <w:jc w:val="both"/>
        <w:rPr>
          <w:rFonts w:ascii="Browallia New" w:hAnsi="Browallia New" w:cs="Browallia New"/>
          <w:sz w:val="28"/>
          <w:szCs w:val="28"/>
        </w:rPr>
      </w:pPr>
      <w:r>
        <w:rPr>
          <w:rFonts w:ascii="Browallia New" w:hAnsi="Browallia New" w:cs="Browallia New"/>
          <w:sz w:val="28"/>
          <w:szCs w:val="28"/>
        </w:rPr>
        <w:t xml:space="preserve">130 </w:t>
      </w:r>
      <w:r w:rsidR="00D404E0">
        <w:rPr>
          <w:rFonts w:ascii="Browallia New" w:hAnsi="Browallia New" w:cs="Browallia New"/>
          <w:sz w:val="28"/>
          <w:szCs w:val="28"/>
        </w:rPr>
        <w:t>l</w:t>
      </w:r>
      <w:r>
        <w:rPr>
          <w:rFonts w:ascii="Browallia New" w:hAnsi="Browallia New" w:cs="Browallia New"/>
          <w:sz w:val="28"/>
          <w:szCs w:val="28"/>
        </w:rPr>
        <w:t>arge organizations (those with revenues greater than $1 billion)</w:t>
      </w:r>
    </w:p>
    <w:p w14:paraId="5A8E1C0A" w14:textId="77777777" w:rsidR="00693F8F" w:rsidRDefault="00693F8F" w:rsidP="00693F8F">
      <w:pPr>
        <w:pStyle w:val="ListParagraph"/>
        <w:numPr>
          <w:ilvl w:val="0"/>
          <w:numId w:val="39"/>
        </w:numPr>
        <w:spacing w:line="204" w:lineRule="auto"/>
        <w:jc w:val="both"/>
        <w:rPr>
          <w:rFonts w:ascii="Browallia New" w:hAnsi="Browallia New" w:cs="Browallia New"/>
          <w:sz w:val="28"/>
          <w:szCs w:val="28"/>
        </w:rPr>
      </w:pPr>
      <w:r>
        <w:rPr>
          <w:rFonts w:ascii="Browallia New" w:hAnsi="Browallia New" w:cs="Browallia New"/>
          <w:sz w:val="28"/>
          <w:szCs w:val="28"/>
        </w:rPr>
        <w:t xml:space="preserve">138 </w:t>
      </w:r>
      <w:proofErr w:type="gramStart"/>
      <w:r>
        <w:rPr>
          <w:rFonts w:ascii="Browallia New" w:hAnsi="Browallia New" w:cs="Browallia New"/>
          <w:sz w:val="28"/>
          <w:szCs w:val="28"/>
        </w:rPr>
        <w:t>publicly-traded</w:t>
      </w:r>
      <w:proofErr w:type="gramEnd"/>
      <w:r>
        <w:rPr>
          <w:rFonts w:ascii="Browallia New" w:hAnsi="Browallia New" w:cs="Browallia New"/>
          <w:sz w:val="28"/>
          <w:szCs w:val="28"/>
        </w:rPr>
        <w:t xml:space="preserve"> companies</w:t>
      </w:r>
    </w:p>
    <w:p w14:paraId="18D69E93" w14:textId="77777777" w:rsidR="00693F8F" w:rsidRDefault="00693F8F" w:rsidP="00693F8F">
      <w:pPr>
        <w:pStyle w:val="ListParagraph"/>
        <w:numPr>
          <w:ilvl w:val="0"/>
          <w:numId w:val="39"/>
        </w:numPr>
        <w:spacing w:line="204" w:lineRule="auto"/>
        <w:jc w:val="both"/>
        <w:rPr>
          <w:rFonts w:ascii="Browallia New" w:hAnsi="Browallia New" w:cs="Browallia New"/>
          <w:sz w:val="28"/>
          <w:szCs w:val="28"/>
        </w:rPr>
      </w:pPr>
      <w:r>
        <w:rPr>
          <w:rFonts w:ascii="Browallia New" w:hAnsi="Browallia New" w:cs="Browallia New"/>
          <w:sz w:val="28"/>
          <w:szCs w:val="28"/>
        </w:rPr>
        <w:t>137 financial services entities</w:t>
      </w:r>
    </w:p>
    <w:p w14:paraId="7C8E394D" w14:textId="77777777" w:rsidR="00693F8F" w:rsidRPr="00693F8F" w:rsidRDefault="00693F8F" w:rsidP="00693F8F">
      <w:pPr>
        <w:pStyle w:val="ListParagraph"/>
        <w:numPr>
          <w:ilvl w:val="0"/>
          <w:numId w:val="39"/>
        </w:numPr>
        <w:spacing w:line="204" w:lineRule="auto"/>
        <w:jc w:val="both"/>
        <w:rPr>
          <w:rFonts w:ascii="Browallia New" w:hAnsi="Browallia New" w:cs="Browallia New"/>
          <w:sz w:val="28"/>
          <w:szCs w:val="28"/>
        </w:rPr>
      </w:pPr>
      <w:r>
        <w:rPr>
          <w:rFonts w:ascii="Browallia New" w:hAnsi="Browallia New" w:cs="Browallia New"/>
          <w:sz w:val="28"/>
          <w:szCs w:val="28"/>
        </w:rPr>
        <w:t>103 not-for-profit organizations</w:t>
      </w:r>
    </w:p>
    <w:p w14:paraId="77393F3F" w14:textId="77777777" w:rsidR="00FC373E" w:rsidRPr="00D820AD" w:rsidRDefault="000F4C05" w:rsidP="00693F8F">
      <w:pPr>
        <w:spacing w:line="204" w:lineRule="auto"/>
        <w:jc w:val="both"/>
        <w:rPr>
          <w:rFonts w:ascii="Browallia New" w:hAnsi="Browallia New" w:cs="Browallia New"/>
          <w:sz w:val="28"/>
          <w:szCs w:val="28"/>
        </w:rPr>
      </w:pPr>
      <w:r w:rsidRPr="00D820AD">
        <w:rPr>
          <w:rFonts w:ascii="Browallia New" w:hAnsi="Browallia New" w:cs="Browallia New"/>
          <w:sz w:val="28"/>
          <w:szCs w:val="28"/>
        </w:rPr>
        <w:t xml:space="preserve">The </w:t>
      </w:r>
      <w:r w:rsidR="008E728A" w:rsidRPr="00D820AD">
        <w:rPr>
          <w:rFonts w:ascii="Browallia New" w:hAnsi="Browallia New" w:cs="Browallia New"/>
          <w:sz w:val="28"/>
          <w:szCs w:val="28"/>
        </w:rPr>
        <w:t xml:space="preserve">following </w:t>
      </w:r>
      <w:r w:rsidR="00C81ECD" w:rsidRPr="00D820AD">
        <w:rPr>
          <w:rFonts w:ascii="Browallia New" w:hAnsi="Browallia New" w:cs="Browallia New"/>
          <w:sz w:val="28"/>
          <w:szCs w:val="28"/>
        </w:rPr>
        <w:t>page</w:t>
      </w:r>
      <w:r w:rsidR="008E728A" w:rsidRPr="00D820AD">
        <w:rPr>
          <w:rFonts w:ascii="Browallia New" w:hAnsi="Browallia New" w:cs="Browallia New"/>
          <w:sz w:val="28"/>
          <w:szCs w:val="28"/>
        </w:rPr>
        <w:t xml:space="preserve"> highlights</w:t>
      </w:r>
      <w:r w:rsidRPr="00D820AD">
        <w:rPr>
          <w:rFonts w:ascii="Browallia New" w:hAnsi="Browallia New" w:cs="Browallia New"/>
          <w:sz w:val="28"/>
          <w:szCs w:val="28"/>
        </w:rPr>
        <w:t xml:space="preserve"> some of the key findings from this research. The remainder of the report provides </w:t>
      </w:r>
      <w:r w:rsidR="00EC44D9" w:rsidRPr="00D820AD">
        <w:rPr>
          <w:rFonts w:ascii="Browallia New" w:hAnsi="Browallia New" w:cs="Browallia New"/>
          <w:sz w:val="28"/>
          <w:szCs w:val="28"/>
        </w:rPr>
        <w:t xml:space="preserve">more detailed </w:t>
      </w:r>
      <w:r w:rsidRPr="00D820AD">
        <w:rPr>
          <w:rFonts w:ascii="Browallia New" w:hAnsi="Browallia New" w:cs="Browallia New"/>
          <w:sz w:val="28"/>
          <w:szCs w:val="28"/>
        </w:rPr>
        <w:t>information about other key findings and related implications for risk oversight.</w:t>
      </w:r>
    </w:p>
    <w:p w14:paraId="6A3C52E3" w14:textId="77777777" w:rsidR="00FC373E" w:rsidRPr="003B1178" w:rsidRDefault="00FC373E" w:rsidP="00521F93">
      <w:pPr>
        <w:spacing w:after="0" w:line="240" w:lineRule="auto"/>
        <w:ind w:left="720" w:firstLine="720"/>
        <w:jc w:val="both"/>
        <w:rPr>
          <w:rFonts w:ascii="Browallia New" w:hAnsi="Browallia New" w:cs="Browallia New"/>
          <w:b/>
        </w:rPr>
      </w:pPr>
      <w:r w:rsidRPr="003B1178">
        <w:rPr>
          <w:rFonts w:ascii="Browallia New" w:hAnsi="Browallia New" w:cs="Browallia New"/>
          <w:b/>
        </w:rPr>
        <w:t xml:space="preserve">Mark </w:t>
      </w:r>
      <w:r w:rsidR="00BD6CA3" w:rsidRPr="003B1178">
        <w:rPr>
          <w:rFonts w:ascii="Browallia New" w:hAnsi="Browallia New" w:cs="Browallia New"/>
          <w:b/>
        </w:rPr>
        <w:t xml:space="preserve">S. </w:t>
      </w:r>
      <w:r w:rsidRPr="003B1178">
        <w:rPr>
          <w:rFonts w:ascii="Browallia New" w:hAnsi="Browallia New" w:cs="Browallia New"/>
          <w:b/>
        </w:rPr>
        <w:t>Beasley</w:t>
      </w:r>
      <w:r w:rsidRPr="003B1178">
        <w:rPr>
          <w:rFonts w:ascii="Browallia New" w:hAnsi="Browallia New" w:cs="Browallia New"/>
          <w:b/>
        </w:rPr>
        <w:tab/>
      </w:r>
      <w:r w:rsidRPr="003B1178">
        <w:rPr>
          <w:rFonts w:ascii="Browallia New" w:hAnsi="Browallia New" w:cs="Browallia New"/>
          <w:b/>
        </w:rPr>
        <w:tab/>
        <w:t xml:space="preserve">Bruce </w:t>
      </w:r>
      <w:r w:rsidR="00BD6CA3" w:rsidRPr="003B1178">
        <w:rPr>
          <w:rFonts w:ascii="Browallia New" w:hAnsi="Browallia New" w:cs="Browallia New"/>
          <w:b/>
        </w:rPr>
        <w:t xml:space="preserve">C. </w:t>
      </w:r>
      <w:r w:rsidRPr="003B1178">
        <w:rPr>
          <w:rFonts w:ascii="Browallia New" w:hAnsi="Browallia New" w:cs="Browallia New"/>
          <w:b/>
        </w:rPr>
        <w:t>Branson</w:t>
      </w:r>
      <w:r w:rsidRPr="003B1178">
        <w:rPr>
          <w:rFonts w:ascii="Browallia New" w:hAnsi="Browallia New" w:cs="Browallia New"/>
          <w:b/>
        </w:rPr>
        <w:tab/>
      </w:r>
      <w:r w:rsidRPr="003B1178">
        <w:rPr>
          <w:rFonts w:ascii="Browallia New" w:hAnsi="Browallia New" w:cs="Browallia New"/>
          <w:b/>
        </w:rPr>
        <w:tab/>
        <w:t xml:space="preserve">Bonnie </w:t>
      </w:r>
      <w:r w:rsidR="007613D2" w:rsidRPr="003B1178">
        <w:rPr>
          <w:rFonts w:ascii="Browallia New" w:hAnsi="Browallia New" w:cs="Browallia New"/>
          <w:b/>
        </w:rPr>
        <w:t xml:space="preserve">V. </w:t>
      </w:r>
      <w:r w:rsidRPr="003B1178">
        <w:rPr>
          <w:rFonts w:ascii="Browallia New" w:hAnsi="Browallia New" w:cs="Browallia New"/>
          <w:b/>
        </w:rPr>
        <w:t>Hancock</w:t>
      </w:r>
    </w:p>
    <w:p w14:paraId="2744CA2C" w14:textId="77777777" w:rsidR="00FC373E" w:rsidRPr="00070230" w:rsidRDefault="00FC373E" w:rsidP="00521F93">
      <w:pPr>
        <w:spacing w:after="0" w:line="144" w:lineRule="auto"/>
        <w:ind w:left="720" w:firstLine="720"/>
        <w:jc w:val="both"/>
        <w:rPr>
          <w:rFonts w:ascii="Browallia New" w:hAnsi="Browallia New" w:cs="Browallia New"/>
          <w:i/>
        </w:rPr>
      </w:pPr>
      <w:r w:rsidRPr="00070230">
        <w:rPr>
          <w:rFonts w:ascii="Browallia New" w:hAnsi="Browallia New" w:cs="Browallia New"/>
          <w:i/>
        </w:rPr>
        <w:t>Deloitte Professor of ERM</w:t>
      </w:r>
      <w:r w:rsidRPr="00070230">
        <w:rPr>
          <w:rFonts w:ascii="Browallia New" w:hAnsi="Browallia New" w:cs="Browallia New"/>
          <w:i/>
        </w:rPr>
        <w:tab/>
        <w:t>Associate Director</w:t>
      </w:r>
      <w:r w:rsidRPr="00070230">
        <w:rPr>
          <w:rFonts w:ascii="Browallia New" w:hAnsi="Browallia New" w:cs="Browallia New"/>
          <w:i/>
        </w:rPr>
        <w:tab/>
      </w:r>
      <w:r w:rsidRPr="00070230">
        <w:rPr>
          <w:rFonts w:ascii="Browallia New" w:hAnsi="Browallia New" w:cs="Browallia New"/>
          <w:i/>
        </w:rPr>
        <w:tab/>
        <w:t>Executive Director</w:t>
      </w:r>
    </w:p>
    <w:p w14:paraId="150CCF8E" w14:textId="77777777" w:rsidR="00000FA2" w:rsidRPr="00070230" w:rsidRDefault="00FC373E" w:rsidP="00521F93">
      <w:pPr>
        <w:spacing w:after="0" w:line="144" w:lineRule="auto"/>
        <w:ind w:left="720" w:firstLine="720"/>
        <w:jc w:val="both"/>
        <w:rPr>
          <w:rFonts w:ascii="Browallia New" w:hAnsi="Browallia New" w:cs="Browallia New"/>
          <w:i/>
        </w:rPr>
      </w:pPr>
      <w:r w:rsidRPr="00070230">
        <w:rPr>
          <w:rFonts w:ascii="Browallia New" w:hAnsi="Browallia New" w:cs="Browallia New"/>
          <w:i/>
        </w:rPr>
        <w:t>ERM Initiative</w:t>
      </w:r>
      <w:r w:rsidRPr="00070230">
        <w:rPr>
          <w:rFonts w:ascii="Browallia New" w:hAnsi="Browallia New" w:cs="Browallia New"/>
          <w:i/>
        </w:rPr>
        <w:tab/>
      </w:r>
      <w:r w:rsidRPr="00070230">
        <w:rPr>
          <w:rFonts w:ascii="Browallia New" w:hAnsi="Browallia New" w:cs="Browallia New"/>
          <w:i/>
        </w:rPr>
        <w:tab/>
        <w:t>ERM Initiative</w:t>
      </w:r>
      <w:r w:rsidRPr="00070230">
        <w:rPr>
          <w:rFonts w:ascii="Browallia New" w:hAnsi="Browallia New" w:cs="Browallia New"/>
          <w:i/>
        </w:rPr>
        <w:tab/>
      </w:r>
      <w:r w:rsidRPr="00070230">
        <w:rPr>
          <w:rFonts w:ascii="Browallia New" w:hAnsi="Browallia New" w:cs="Browallia New"/>
          <w:i/>
        </w:rPr>
        <w:tab/>
        <w:t>ERM Initiative</w:t>
      </w:r>
    </w:p>
    <w:p w14:paraId="27833EB3" w14:textId="77777777" w:rsidR="00000FA2" w:rsidRPr="00C05DA7" w:rsidRDefault="00536042" w:rsidP="00347359">
      <w:pPr>
        <w:spacing w:after="0" w:line="240" w:lineRule="auto"/>
        <w:jc w:val="both"/>
        <w:rPr>
          <w:rFonts w:ascii="Browallia New" w:hAnsi="Browallia New" w:cs="Browallia New"/>
          <w:i/>
        </w:rPr>
      </w:pPr>
      <w:r>
        <w:rPr>
          <w:rFonts w:ascii="Browallia New" w:hAnsi="Browallia New" w:cs="Browallia New"/>
          <w:i/>
          <w:noProof/>
        </w:rPr>
        <mc:AlternateContent>
          <mc:Choice Requires="wps">
            <w:drawing>
              <wp:anchor distT="0" distB="0" distL="114300" distR="114300" simplePos="0" relativeHeight="251652608" behindDoc="0" locked="0" layoutInCell="1" allowOverlap="1" wp14:anchorId="4289801D" wp14:editId="3004AAF5">
                <wp:simplePos x="0" y="0"/>
                <wp:positionH relativeFrom="column">
                  <wp:posOffset>116840</wp:posOffset>
                </wp:positionH>
                <wp:positionV relativeFrom="paragraph">
                  <wp:posOffset>125095</wp:posOffset>
                </wp:positionV>
                <wp:extent cx="5796915" cy="1002030"/>
                <wp:effectExtent l="19050" t="19050" r="13335" b="26670"/>
                <wp:wrapNone/>
                <wp:docPr id="2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002030"/>
                        </a:xfrm>
                        <a:prstGeom prst="roundRect">
                          <a:avLst>
                            <a:gd name="adj" fmla="val 16667"/>
                          </a:avLst>
                        </a:prstGeom>
                        <a:solidFill>
                          <a:schemeClr val="bg1">
                            <a:lumMod val="100000"/>
                            <a:lumOff val="0"/>
                          </a:schemeClr>
                        </a:solidFill>
                        <a:ln w="28575">
                          <a:solidFill>
                            <a:srgbClr val="0070C0"/>
                          </a:solidFill>
                          <a:round/>
                          <a:headEnd/>
                          <a:tailEnd/>
                        </a:ln>
                      </wps:spPr>
                      <wps:txbx>
                        <w:txbxContent>
                          <w:p w14:paraId="0C169B81" w14:textId="77777777" w:rsidR="00206200" w:rsidRPr="00693F8F" w:rsidRDefault="00206200" w:rsidP="006B0738">
                            <w:pPr>
                              <w:spacing w:after="0"/>
                              <w:jc w:val="center"/>
                              <w:rPr>
                                <w:rFonts w:asciiTheme="majorHAnsi" w:hAnsiTheme="majorHAnsi"/>
                                <w:b/>
                                <w:color w:val="0070C0"/>
                                <w:sz w:val="16"/>
                                <w:szCs w:val="16"/>
                              </w:rPr>
                            </w:pPr>
                            <w:r w:rsidRPr="00693F8F">
                              <w:rPr>
                                <w:rFonts w:asciiTheme="majorHAnsi" w:hAnsiTheme="majorHAnsi"/>
                                <w:b/>
                                <w:color w:val="0070C0"/>
                                <w:sz w:val="16"/>
                                <w:szCs w:val="16"/>
                              </w:rPr>
                              <w:t>The ERM Initiative in the Poole College of Management at North Carolina State University provides thought leadership on enterprise risk management (ERM) and its integration with strategic planning and corporate governance, with a focus on helping boards of directors and senior executives gain strategic advantage by strengthening their oversight of all types of risks affecting the enterprise.</w:t>
                            </w:r>
                          </w:p>
                          <w:p w14:paraId="5A5862BA" w14:textId="77777777" w:rsidR="00206200" w:rsidRPr="00835183" w:rsidRDefault="00206200" w:rsidP="002336DD">
                            <w:pPr>
                              <w:jc w:val="center"/>
                              <w:rPr>
                                <w:rFonts w:asciiTheme="majorHAnsi" w:hAnsiTheme="majorHAnsi"/>
                                <w:b/>
                                <w:i/>
                                <w:color w:val="912122" w:themeColor="accent3" w:themeShade="BF"/>
                                <w:sz w:val="16"/>
                                <w:szCs w:val="16"/>
                              </w:rPr>
                            </w:pPr>
                            <w:r w:rsidRPr="00835183">
                              <w:rPr>
                                <w:rFonts w:asciiTheme="majorHAnsi" w:hAnsiTheme="majorHAnsi"/>
                                <w:b/>
                                <w:i/>
                                <w:color w:val="912122" w:themeColor="accent3" w:themeShade="BF"/>
                                <w:sz w:val="16"/>
                                <w:szCs w:val="16"/>
                              </w:rPr>
                              <w:t>www.erm.ncsu.edu.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89801D" id="Text Box 106" o:spid="_x0000_s1026" style="position:absolute;left:0;text-align:left;margin-left:9.2pt;margin-top:9.85pt;width:456.45pt;height:7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" fillcolor="white [3212]" strokecolor="#0070c0" strokeweight="2.25pt">
                <v:textbox>
                  <w:txbxContent>
                    <w:p w14:paraId="0C169B81" w14:textId="77777777" w:rsidR="00206200" w:rsidRPr="00693F8F" w:rsidRDefault="00206200" w:rsidP="006B0738">
                      <w:pPr>
                        <w:spacing w:after="0"/>
                        <w:jc w:val="center"/>
                        <w:rPr>
                          <w:rFonts w:asciiTheme="majorHAnsi" w:hAnsiTheme="majorHAnsi"/>
                          <w:b/>
                          <w:color w:val="0070C0"/>
                          <w:sz w:val="16"/>
                          <w:szCs w:val="16"/>
                        </w:rPr>
                      </w:pPr>
                      <w:r w:rsidRPr="00693F8F">
                        <w:rPr>
                          <w:rFonts w:asciiTheme="majorHAnsi" w:hAnsiTheme="majorHAnsi"/>
                          <w:b/>
                          <w:color w:val="0070C0"/>
                          <w:sz w:val="16"/>
                          <w:szCs w:val="16"/>
                        </w:rPr>
                        <w:t>The ERM Initiative in the Poole College of Management at North Carolina State University provides thought leadership on enterprise risk management (ERM) and its integration with strategic planning and corporate governance, with a focus on helping boards of directors and senior executives gain strategic advantage by strengthening their oversight of all types of risks affecting the enterprise.</w:t>
                      </w:r>
                    </w:p>
                    <w:p w14:paraId="5A5862BA" w14:textId="77777777" w:rsidR="00206200" w:rsidRPr="00835183" w:rsidRDefault="00206200" w:rsidP="002336DD">
                      <w:pPr>
                        <w:jc w:val="center"/>
                        <w:rPr>
                          <w:rFonts w:asciiTheme="majorHAnsi" w:hAnsiTheme="majorHAnsi"/>
                          <w:b/>
                          <w:i/>
                          <w:color w:val="912122" w:themeColor="accent3" w:themeShade="BF"/>
                          <w:sz w:val="16"/>
                          <w:szCs w:val="16"/>
                        </w:rPr>
                      </w:pPr>
                      <w:r w:rsidRPr="00835183">
                        <w:rPr>
                          <w:rFonts w:asciiTheme="majorHAnsi" w:hAnsiTheme="majorHAnsi"/>
                          <w:b/>
                          <w:i/>
                          <w:color w:val="912122" w:themeColor="accent3" w:themeShade="BF"/>
                          <w:sz w:val="16"/>
                          <w:szCs w:val="16"/>
                        </w:rPr>
                        <w:t>www.erm.ncsu.edu.</w:t>
                      </w:r>
                    </w:p>
                  </w:txbxContent>
                </v:textbox>
              </v:roundrect>
            </w:pict>
          </mc:Fallback>
        </mc:AlternateContent>
      </w:r>
    </w:p>
    <w:p w14:paraId="710910C5" w14:textId="77777777" w:rsidR="006F6912" w:rsidRPr="00C05DA7" w:rsidRDefault="006F6912" w:rsidP="00347359">
      <w:pPr>
        <w:spacing w:after="0" w:line="240" w:lineRule="auto"/>
        <w:jc w:val="both"/>
        <w:rPr>
          <w:rFonts w:ascii="Browallia New" w:hAnsi="Browallia New" w:cs="Browallia New"/>
          <w:b/>
        </w:rPr>
      </w:pPr>
      <w:r w:rsidRPr="00C05DA7">
        <w:rPr>
          <w:rFonts w:ascii="Browallia New" w:hAnsi="Browallia New" w:cs="Browallia New"/>
          <w:b/>
        </w:rPr>
        <w:br w:type="page"/>
      </w:r>
    </w:p>
    <w:p w14:paraId="03D55B2B" w14:textId="77777777" w:rsidR="00BA4217" w:rsidRPr="00181B6D" w:rsidRDefault="00BA4217" w:rsidP="00181B6D">
      <w:pPr>
        <w:pStyle w:val="Heading1"/>
      </w:pPr>
      <w:r w:rsidRPr="00181B6D">
        <w:lastRenderedPageBreak/>
        <w:t xml:space="preserve">SUMMARY OF KEY OBSERVATIONS </w:t>
      </w:r>
    </w:p>
    <w:tbl>
      <w:tblPr>
        <w:tblStyle w:val="TableGrid"/>
        <w:tblW w:w="0" w:type="auto"/>
        <w:tblLook w:val="04A0" w:firstRow="1" w:lastRow="0" w:firstColumn="1" w:lastColumn="0" w:noHBand="0" w:noVBand="1"/>
      </w:tblPr>
      <w:tblGrid>
        <w:gridCol w:w="660"/>
        <w:gridCol w:w="8635"/>
      </w:tblGrid>
      <w:tr w:rsidR="00C07837" w14:paraId="5D75C8F0" w14:textId="77777777" w:rsidTr="00BA4217">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2B172F01" w14:textId="77777777" w:rsidR="00C07837" w:rsidRPr="00C07837" w:rsidRDefault="00C07837" w:rsidP="00BF570F">
            <w:pPr>
              <w:spacing w:line="180" w:lineRule="auto"/>
              <w:jc w:val="both"/>
              <w:rPr>
                <w:rFonts w:ascii="Browallia New" w:hAnsi="Browallia New" w:cs="Browallia New"/>
                <w:b/>
                <w:sz w:val="40"/>
                <w:szCs w:val="40"/>
              </w:rPr>
            </w:pPr>
            <w:r w:rsidRPr="00C07837">
              <w:rPr>
                <w:rFonts w:ascii="Browallia New" w:hAnsi="Browallia New" w:cs="Browallia New"/>
                <w:b/>
                <w:sz w:val="40"/>
                <w:szCs w:val="40"/>
              </w:rPr>
              <w:t>1</w:t>
            </w:r>
          </w:p>
        </w:tc>
        <w:tc>
          <w:tcPr>
            <w:tcW w:w="8635" w:type="dxa"/>
            <w:tcBorders>
              <w:top w:val="nil"/>
              <w:left w:val="thickThinMediumGap" w:sz="24" w:space="0" w:color="C48B01" w:themeColor="accent2" w:themeShade="BF"/>
              <w:bottom w:val="nil"/>
              <w:right w:val="nil"/>
            </w:tcBorders>
          </w:tcPr>
          <w:p w14:paraId="3372FD8D" w14:textId="77777777" w:rsidR="00B309AB" w:rsidRPr="00BA4217" w:rsidRDefault="00BA4217" w:rsidP="00BF570F">
            <w:pPr>
              <w:spacing w:line="168" w:lineRule="auto"/>
              <w:jc w:val="both"/>
              <w:rPr>
                <w:rFonts w:ascii="Browallia New" w:hAnsi="Browallia New" w:cs="Browallia New"/>
              </w:rPr>
            </w:pPr>
            <w:r w:rsidRPr="00DB2A6D">
              <w:rPr>
                <w:rFonts w:ascii="Browallia New" w:hAnsi="Browallia New" w:cs="Browallia New"/>
                <w:b/>
                <w:color w:val="0070C0"/>
                <w:sz w:val="28"/>
                <w:szCs w:val="28"/>
              </w:rPr>
              <w:t>Managing risks in today’s environment isn’t getting easier.</w:t>
            </w:r>
            <w:r w:rsidRPr="00BA4217">
              <w:rPr>
                <w:rFonts w:ascii="Browallia New" w:hAnsi="Browallia New" w:cs="Browallia New"/>
                <w:b/>
                <w:color w:val="0070C0"/>
              </w:rPr>
              <w:t xml:space="preserve"> </w:t>
            </w:r>
            <w:r>
              <w:rPr>
                <w:rFonts w:ascii="Browallia New" w:hAnsi="Browallia New" w:cs="Browallia New"/>
              </w:rPr>
              <w:t xml:space="preserve"> </w:t>
            </w:r>
            <w:r w:rsidR="007B2FC5">
              <w:rPr>
                <w:rFonts w:ascii="Browallia New" w:hAnsi="Browallia New" w:cs="Browallia New"/>
              </w:rPr>
              <w:t>Most</w:t>
            </w:r>
            <w:r w:rsidRPr="00BA4217">
              <w:rPr>
                <w:rFonts w:ascii="Browallia New" w:hAnsi="Browallia New" w:cs="Browallia New"/>
              </w:rPr>
              <w:t xml:space="preserve"> respondents</w:t>
            </w:r>
            <w:r w:rsidR="007B2FC5">
              <w:rPr>
                <w:rFonts w:ascii="Browallia New" w:hAnsi="Browallia New" w:cs="Browallia New"/>
              </w:rPr>
              <w:t xml:space="preserve"> (60%) </w:t>
            </w:r>
            <w:r w:rsidRPr="00BA4217">
              <w:rPr>
                <w:rFonts w:ascii="Browallia New" w:hAnsi="Browallia New" w:cs="Browallia New"/>
              </w:rPr>
              <w:t>believe the volume and complexity of risks is inc</w:t>
            </w:r>
            <w:r w:rsidR="00210BB3">
              <w:rPr>
                <w:rFonts w:ascii="Browallia New" w:hAnsi="Browallia New" w:cs="Browallia New"/>
              </w:rPr>
              <w:t xml:space="preserve">reasing extensively over time. </w:t>
            </w:r>
            <w:proofErr w:type="gramStart"/>
            <w:r w:rsidRPr="00BA4217">
              <w:rPr>
                <w:rFonts w:ascii="Browallia New" w:hAnsi="Browallia New" w:cs="Browallia New"/>
              </w:rPr>
              <w:t>And,</w:t>
            </w:r>
            <w:proofErr w:type="gramEnd"/>
            <w:r w:rsidRPr="00BA4217">
              <w:rPr>
                <w:rFonts w:ascii="Browallia New" w:hAnsi="Browallia New" w:cs="Browallia New"/>
              </w:rPr>
              <w:t xml:space="preserve"> </w:t>
            </w:r>
            <w:r w:rsidR="00273AF5">
              <w:rPr>
                <w:rFonts w:ascii="Browallia New" w:hAnsi="Browallia New" w:cs="Browallia New"/>
              </w:rPr>
              <w:t>65% of</w:t>
            </w:r>
            <w:r w:rsidRPr="00BA4217">
              <w:rPr>
                <w:rFonts w:ascii="Browallia New" w:hAnsi="Browallia New" w:cs="Browallia New"/>
              </w:rPr>
              <w:t xml:space="preserve"> organizations </w:t>
            </w:r>
            <w:r w:rsidR="00273AF5">
              <w:rPr>
                <w:rFonts w:ascii="Browallia New" w:hAnsi="Browallia New" w:cs="Browallia New"/>
              </w:rPr>
              <w:t xml:space="preserve">indicate they </w:t>
            </w:r>
            <w:r w:rsidRPr="00BA4217">
              <w:rPr>
                <w:rFonts w:ascii="Browallia New" w:hAnsi="Browallia New" w:cs="Browallia New"/>
              </w:rPr>
              <w:t>have recently experienced an operational surprise due to a risk they did not adequately anticipate.</w:t>
            </w:r>
          </w:p>
        </w:tc>
      </w:tr>
    </w:tbl>
    <w:p w14:paraId="0AAA7A4E" w14:textId="77777777" w:rsidR="00BA4217" w:rsidRPr="007C52ED" w:rsidRDefault="00BA4217" w:rsidP="00BF570F">
      <w:pPr>
        <w:spacing w:after="0" w:line="180" w:lineRule="auto"/>
        <w:ind w:firstLine="720"/>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06E56430" w14:textId="77777777" w:rsidTr="00B309AB">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4922B104"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2</w:t>
            </w:r>
          </w:p>
        </w:tc>
        <w:tc>
          <w:tcPr>
            <w:tcW w:w="8635" w:type="dxa"/>
            <w:tcBorders>
              <w:top w:val="nil"/>
              <w:left w:val="thickThinMediumGap" w:sz="24" w:space="0" w:color="C48B01" w:themeColor="accent2" w:themeShade="BF"/>
              <w:bottom w:val="nil"/>
              <w:right w:val="nil"/>
            </w:tcBorders>
          </w:tcPr>
          <w:p w14:paraId="52EDC683" w14:textId="77777777" w:rsidR="00BA4217" w:rsidRPr="00B309AB" w:rsidRDefault="00B309AB" w:rsidP="00BF570F">
            <w:pPr>
              <w:spacing w:line="168" w:lineRule="auto"/>
              <w:jc w:val="both"/>
              <w:rPr>
                <w:rFonts w:ascii="Browallia New" w:hAnsi="Browallia New" w:cs="Browallia New"/>
              </w:rPr>
            </w:pPr>
            <w:r w:rsidRPr="00DB2A6D">
              <w:rPr>
                <w:rFonts w:ascii="Browallia New" w:hAnsi="Browallia New" w:cs="Browallia New"/>
                <w:b/>
                <w:color w:val="0070C0"/>
                <w:sz w:val="28"/>
                <w:szCs w:val="28"/>
              </w:rPr>
              <w:t>Demands for greater management focus on risks are increasing.</w:t>
            </w:r>
            <w:r w:rsidRPr="00B309AB">
              <w:rPr>
                <w:rFonts w:ascii="Browallia New" w:hAnsi="Browallia New" w:cs="Browallia New"/>
                <w:color w:val="0070C0"/>
              </w:rPr>
              <w:t xml:space="preserve"> </w:t>
            </w:r>
            <w:r w:rsidRPr="00B309AB">
              <w:rPr>
                <w:rFonts w:ascii="Browallia New" w:hAnsi="Browallia New" w:cs="Browallia New"/>
              </w:rPr>
              <w:t xml:space="preserve">Most boards of directors </w:t>
            </w:r>
            <w:r w:rsidR="00273AF5">
              <w:rPr>
                <w:rFonts w:ascii="Browallia New" w:hAnsi="Browallia New" w:cs="Browallia New"/>
              </w:rPr>
              <w:t xml:space="preserve">(68%) </w:t>
            </w:r>
            <w:r w:rsidRPr="00B309AB">
              <w:rPr>
                <w:rFonts w:ascii="Browallia New" w:hAnsi="Browallia New" w:cs="Browallia New"/>
              </w:rPr>
              <w:t xml:space="preserve">are putting pressure on </w:t>
            </w:r>
            <w:r>
              <w:rPr>
                <w:rFonts w:ascii="Browallia New" w:hAnsi="Browallia New" w:cs="Browallia New"/>
              </w:rPr>
              <w:t xml:space="preserve">senior executives </w:t>
            </w:r>
            <w:r w:rsidRPr="00B309AB">
              <w:rPr>
                <w:rFonts w:ascii="Browallia New" w:hAnsi="Browallia New" w:cs="Browallia New"/>
              </w:rPr>
              <w:t xml:space="preserve">to increase management </w:t>
            </w:r>
            <w:r w:rsidR="00210BB3">
              <w:rPr>
                <w:rFonts w:ascii="Browallia New" w:hAnsi="Browallia New" w:cs="Browallia New"/>
              </w:rPr>
              <w:t xml:space="preserve">involvement in risk oversight. </w:t>
            </w:r>
            <w:r w:rsidRPr="00B309AB">
              <w:rPr>
                <w:rFonts w:ascii="Browallia New" w:hAnsi="Browallia New" w:cs="Browallia New"/>
              </w:rPr>
              <w:t>Strong risk management practices are bec</w:t>
            </w:r>
            <w:r>
              <w:rPr>
                <w:rFonts w:ascii="Browallia New" w:hAnsi="Browallia New" w:cs="Browallia New"/>
              </w:rPr>
              <w:t xml:space="preserve">oming </w:t>
            </w:r>
            <w:proofErr w:type="gramStart"/>
            <w:r>
              <w:rPr>
                <w:rFonts w:ascii="Browallia New" w:hAnsi="Browallia New" w:cs="Browallia New"/>
              </w:rPr>
              <w:t>an</w:t>
            </w:r>
            <w:proofErr w:type="gramEnd"/>
            <w:r>
              <w:rPr>
                <w:rFonts w:ascii="Browallia New" w:hAnsi="Browallia New" w:cs="Browallia New"/>
              </w:rPr>
              <w:t xml:space="preserve"> expected best practice.</w:t>
            </w:r>
            <w:r w:rsidRPr="00B309AB">
              <w:rPr>
                <w:rFonts w:ascii="Browallia New" w:hAnsi="Browallia New" w:cs="Browallia New"/>
              </w:rPr>
              <w:t xml:space="preserve"> These pressures are getting </w:t>
            </w:r>
            <w:proofErr w:type="gramStart"/>
            <w:r w:rsidRPr="00B309AB">
              <w:rPr>
                <w:rFonts w:ascii="Browallia New" w:hAnsi="Browallia New" w:cs="Browallia New"/>
              </w:rPr>
              <w:t>harder and harder</w:t>
            </w:r>
            <w:proofErr w:type="gramEnd"/>
            <w:r w:rsidRPr="00B309AB">
              <w:rPr>
                <w:rFonts w:ascii="Browallia New" w:hAnsi="Browallia New" w:cs="Browallia New"/>
              </w:rPr>
              <w:t xml:space="preserve"> for senior executives to ignore.</w:t>
            </w:r>
          </w:p>
        </w:tc>
      </w:tr>
    </w:tbl>
    <w:p w14:paraId="29413BB0"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73CFBFAC" w14:textId="77777777" w:rsidTr="00FB068C">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469B95E5"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3</w:t>
            </w:r>
          </w:p>
        </w:tc>
        <w:tc>
          <w:tcPr>
            <w:tcW w:w="8635" w:type="dxa"/>
            <w:tcBorders>
              <w:top w:val="nil"/>
              <w:left w:val="thickThinMediumGap" w:sz="24" w:space="0" w:color="C48B01" w:themeColor="accent2" w:themeShade="BF"/>
              <w:bottom w:val="nil"/>
              <w:right w:val="nil"/>
            </w:tcBorders>
          </w:tcPr>
          <w:p w14:paraId="59D24C8E" w14:textId="77777777" w:rsidR="00BA4217" w:rsidRDefault="00B309AB" w:rsidP="00BF570F">
            <w:pPr>
              <w:spacing w:line="168" w:lineRule="auto"/>
              <w:jc w:val="both"/>
              <w:rPr>
                <w:rFonts w:ascii="Browallia New" w:hAnsi="Browallia New" w:cs="Browallia New"/>
                <w:sz w:val="28"/>
                <w:szCs w:val="28"/>
              </w:rPr>
            </w:pPr>
            <w:r w:rsidRPr="00DB2A6D">
              <w:rPr>
                <w:rFonts w:ascii="Browallia New" w:hAnsi="Browallia New" w:cs="Browallia New"/>
                <w:b/>
                <w:color w:val="0070C0"/>
                <w:sz w:val="28"/>
                <w:szCs w:val="28"/>
              </w:rPr>
              <w:t xml:space="preserve">Risk management practices in most organizations </w:t>
            </w:r>
            <w:r w:rsidR="00D90329">
              <w:rPr>
                <w:rFonts w:ascii="Browallia New" w:hAnsi="Browallia New" w:cs="Browallia New"/>
                <w:b/>
                <w:color w:val="0070C0"/>
                <w:sz w:val="28"/>
                <w:szCs w:val="28"/>
              </w:rPr>
              <w:t>remain</w:t>
            </w:r>
            <w:r w:rsidRPr="00DB2A6D">
              <w:rPr>
                <w:rFonts w:ascii="Browallia New" w:hAnsi="Browallia New" w:cs="Browallia New"/>
                <w:b/>
                <w:color w:val="0070C0"/>
                <w:sz w:val="28"/>
                <w:szCs w:val="28"/>
              </w:rPr>
              <w:t xml:space="preserve"> relatively immature.</w:t>
            </w:r>
            <w:r w:rsidRPr="00B309AB">
              <w:rPr>
                <w:rFonts w:ascii="Browallia New" w:hAnsi="Browallia New" w:cs="Browallia New"/>
                <w:color w:val="0070C0"/>
              </w:rPr>
              <w:t xml:space="preserve"> </w:t>
            </w:r>
            <w:r w:rsidR="00273AF5">
              <w:rPr>
                <w:rFonts w:ascii="Browallia New" w:hAnsi="Browallia New" w:cs="Browallia New"/>
              </w:rPr>
              <w:t>Twenty-two percent</w:t>
            </w:r>
            <w:r>
              <w:rPr>
                <w:rFonts w:ascii="Browallia New" w:hAnsi="Browallia New" w:cs="Browallia New"/>
              </w:rPr>
              <w:t xml:space="preserve"> of respondents describe their risk management as “mature” or “robust” with the perceived level of maturity declining over the past two years.</w:t>
            </w:r>
            <w:r w:rsidR="00FB068C">
              <w:rPr>
                <w:rFonts w:ascii="Browallia New" w:hAnsi="Browallia New" w:cs="Browallia New"/>
              </w:rPr>
              <w:t xml:space="preserve"> </w:t>
            </w:r>
            <w:r w:rsidR="00273AF5">
              <w:rPr>
                <w:rFonts w:ascii="Browallia New" w:hAnsi="Browallia New" w:cs="Browallia New"/>
              </w:rPr>
              <w:t xml:space="preserve">Thirty-one percent of </w:t>
            </w:r>
            <w:r w:rsidR="00FB068C">
              <w:rPr>
                <w:rFonts w:ascii="Browallia New" w:hAnsi="Browallia New" w:cs="Browallia New"/>
              </w:rPr>
              <w:t xml:space="preserve">organizations </w:t>
            </w:r>
            <w:r w:rsidR="00273AF5">
              <w:rPr>
                <w:rFonts w:ascii="Browallia New" w:hAnsi="Browallia New" w:cs="Browallia New"/>
              </w:rPr>
              <w:t xml:space="preserve">(48% of the largest organizations) </w:t>
            </w:r>
            <w:r w:rsidR="00FB068C">
              <w:rPr>
                <w:rFonts w:ascii="Browallia New" w:hAnsi="Browallia New" w:cs="Browallia New"/>
              </w:rPr>
              <w:t>have complete ERM processes in place</w:t>
            </w:r>
            <w:r w:rsidRPr="00B309AB">
              <w:rPr>
                <w:rFonts w:ascii="Browallia New" w:hAnsi="Browallia New" w:cs="Browallia New"/>
              </w:rPr>
              <w:t>.</w:t>
            </w:r>
          </w:p>
        </w:tc>
      </w:tr>
    </w:tbl>
    <w:p w14:paraId="03F90C65"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251E0CC2" w14:textId="77777777" w:rsidTr="00C73A7A">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045D292E"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4</w:t>
            </w:r>
          </w:p>
        </w:tc>
        <w:tc>
          <w:tcPr>
            <w:tcW w:w="8635" w:type="dxa"/>
            <w:tcBorders>
              <w:top w:val="nil"/>
              <w:left w:val="thickThinMediumGap" w:sz="24" w:space="0" w:color="C48B01" w:themeColor="accent2" w:themeShade="BF"/>
              <w:bottom w:val="nil"/>
              <w:right w:val="nil"/>
            </w:tcBorders>
          </w:tcPr>
          <w:p w14:paraId="05017CD1" w14:textId="77777777" w:rsidR="00BA4217" w:rsidRDefault="00FB068C" w:rsidP="00BF570F">
            <w:pPr>
              <w:spacing w:line="168" w:lineRule="auto"/>
              <w:jc w:val="both"/>
              <w:rPr>
                <w:rFonts w:ascii="Browallia New" w:hAnsi="Browallia New" w:cs="Browallia New"/>
                <w:sz w:val="28"/>
                <w:szCs w:val="28"/>
              </w:rPr>
            </w:pPr>
            <w:r w:rsidRPr="00DB2A6D">
              <w:rPr>
                <w:rFonts w:ascii="Browallia New" w:hAnsi="Browallia New" w:cs="Browallia New"/>
                <w:b/>
                <w:color w:val="0070C0"/>
                <w:sz w:val="28"/>
                <w:szCs w:val="28"/>
              </w:rPr>
              <w:t xml:space="preserve">Organizations </w:t>
            </w:r>
            <w:r w:rsidR="003F0333">
              <w:rPr>
                <w:rFonts w:ascii="Browallia New" w:hAnsi="Browallia New" w:cs="Browallia New"/>
                <w:b/>
                <w:color w:val="0070C0"/>
                <w:sz w:val="28"/>
                <w:szCs w:val="28"/>
              </w:rPr>
              <w:t>are formalizing</w:t>
            </w:r>
            <w:r w:rsidRPr="00DB2A6D">
              <w:rPr>
                <w:rFonts w:ascii="Browallia New" w:hAnsi="Browallia New" w:cs="Browallia New"/>
                <w:b/>
                <w:color w:val="0070C0"/>
                <w:sz w:val="28"/>
                <w:szCs w:val="28"/>
              </w:rPr>
              <w:t xml:space="preserve"> their risk management leadership structures</w:t>
            </w:r>
            <w:r w:rsidR="00B309AB" w:rsidRPr="00DB2A6D">
              <w:rPr>
                <w:rFonts w:ascii="Browallia New" w:hAnsi="Browallia New" w:cs="Browallia New"/>
                <w:b/>
                <w:color w:val="0070C0"/>
                <w:sz w:val="28"/>
                <w:szCs w:val="28"/>
              </w:rPr>
              <w:t>.</w:t>
            </w:r>
            <w:r>
              <w:rPr>
                <w:rFonts w:ascii="Browallia New" w:hAnsi="Browallia New" w:cs="Browallia New"/>
                <w:color w:val="0070C0"/>
              </w:rPr>
              <w:t xml:space="preserve"> </w:t>
            </w:r>
            <w:r>
              <w:rPr>
                <w:rFonts w:ascii="Browallia New" w:hAnsi="Browallia New" w:cs="Browallia New"/>
              </w:rPr>
              <w:t>The percentage of organizations designating an individual to serve as chief risk officer (or equivalent) has increas</w:t>
            </w:r>
            <w:r w:rsidR="00013FAD">
              <w:rPr>
                <w:rFonts w:ascii="Browallia New" w:hAnsi="Browallia New" w:cs="Browallia New"/>
              </w:rPr>
              <w:t>ed</w:t>
            </w:r>
            <w:r>
              <w:rPr>
                <w:rFonts w:ascii="Browallia New" w:hAnsi="Browallia New" w:cs="Browallia New"/>
              </w:rPr>
              <w:t xml:space="preserve"> over time, with </w:t>
            </w:r>
            <w:r w:rsidR="00013FAD">
              <w:rPr>
                <w:rFonts w:ascii="Browallia New" w:hAnsi="Browallia New" w:cs="Browallia New"/>
              </w:rPr>
              <w:t>67%</w:t>
            </w:r>
            <w:r>
              <w:rPr>
                <w:rFonts w:ascii="Browallia New" w:hAnsi="Browallia New" w:cs="Browallia New"/>
              </w:rPr>
              <w:t xml:space="preserve"> of large organizations and </w:t>
            </w:r>
            <w:r w:rsidR="00013FAD">
              <w:rPr>
                <w:rFonts w:ascii="Browallia New" w:hAnsi="Browallia New" w:cs="Browallia New"/>
              </w:rPr>
              <w:t xml:space="preserve">63% of </w:t>
            </w:r>
            <w:r>
              <w:rPr>
                <w:rFonts w:ascii="Browallia New" w:hAnsi="Browallia New" w:cs="Browallia New"/>
              </w:rPr>
              <w:t>public compan</w:t>
            </w:r>
            <w:r w:rsidR="00210BB3">
              <w:rPr>
                <w:rFonts w:ascii="Browallia New" w:hAnsi="Browallia New" w:cs="Browallia New"/>
              </w:rPr>
              <w:t xml:space="preserve">ies doing so. </w:t>
            </w:r>
            <w:r w:rsidR="00013FAD">
              <w:rPr>
                <w:rFonts w:ascii="Browallia New" w:hAnsi="Browallia New" w:cs="Browallia New"/>
              </w:rPr>
              <w:t>Most of those organizations</w:t>
            </w:r>
            <w:r>
              <w:rPr>
                <w:rFonts w:ascii="Browallia New" w:hAnsi="Browallia New" w:cs="Browallia New"/>
              </w:rPr>
              <w:t xml:space="preserve"> </w:t>
            </w:r>
            <w:r w:rsidR="00013FAD">
              <w:rPr>
                <w:rFonts w:ascii="Browallia New" w:hAnsi="Browallia New" w:cs="Browallia New"/>
              </w:rPr>
              <w:t xml:space="preserve">(&gt;80%) </w:t>
            </w:r>
            <w:r>
              <w:rPr>
                <w:rFonts w:ascii="Browallia New" w:hAnsi="Browallia New" w:cs="Browallia New"/>
              </w:rPr>
              <w:t>have management risk committees</w:t>
            </w:r>
            <w:r w:rsidR="00B309AB" w:rsidRPr="00B309AB">
              <w:rPr>
                <w:rFonts w:ascii="Browallia New" w:hAnsi="Browallia New" w:cs="Browallia New"/>
              </w:rPr>
              <w:t>.</w:t>
            </w:r>
          </w:p>
        </w:tc>
      </w:tr>
    </w:tbl>
    <w:p w14:paraId="0CDC361D"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744CCC0F" w14:textId="77777777" w:rsidTr="00C73A7A">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77149C85"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5</w:t>
            </w:r>
          </w:p>
        </w:tc>
        <w:tc>
          <w:tcPr>
            <w:tcW w:w="8635" w:type="dxa"/>
            <w:tcBorders>
              <w:top w:val="nil"/>
              <w:left w:val="thickThinMediumGap" w:sz="24" w:space="0" w:color="C48B01" w:themeColor="accent2" w:themeShade="BF"/>
              <w:bottom w:val="nil"/>
              <w:right w:val="nil"/>
            </w:tcBorders>
          </w:tcPr>
          <w:p w14:paraId="6CC59E0A" w14:textId="77777777" w:rsidR="00BA4217" w:rsidRDefault="00FB068C" w:rsidP="00BF570F">
            <w:pPr>
              <w:spacing w:line="168" w:lineRule="auto"/>
              <w:jc w:val="both"/>
              <w:rPr>
                <w:rFonts w:ascii="Browallia New" w:hAnsi="Browallia New" w:cs="Browallia New"/>
                <w:sz w:val="28"/>
                <w:szCs w:val="28"/>
              </w:rPr>
            </w:pPr>
            <w:r w:rsidRPr="00DB2A6D">
              <w:rPr>
                <w:rFonts w:ascii="Browallia New" w:hAnsi="Browallia New" w:cs="Browallia New"/>
                <w:b/>
                <w:color w:val="0070C0"/>
                <w:sz w:val="28"/>
                <w:szCs w:val="28"/>
              </w:rPr>
              <w:t>Most struggle to integrate risk management with strategy</w:t>
            </w:r>
            <w:r w:rsidR="00B309AB" w:rsidRPr="00DB2A6D">
              <w:rPr>
                <w:rFonts w:ascii="Browallia New" w:hAnsi="Browallia New" w:cs="Browallia New"/>
                <w:b/>
                <w:color w:val="0070C0"/>
                <w:sz w:val="28"/>
                <w:szCs w:val="28"/>
              </w:rPr>
              <w:t>.</w:t>
            </w:r>
            <w:r w:rsidR="00B309AB" w:rsidRPr="00B309AB">
              <w:rPr>
                <w:rFonts w:ascii="Browallia New" w:hAnsi="Browallia New" w:cs="Browallia New"/>
                <w:color w:val="0070C0"/>
              </w:rPr>
              <w:t xml:space="preserve"> </w:t>
            </w:r>
            <w:r w:rsidR="00013FAD">
              <w:rPr>
                <w:rFonts w:ascii="Browallia New" w:hAnsi="Browallia New" w:cs="Browallia New"/>
              </w:rPr>
              <w:t>Less than 20% of</w:t>
            </w:r>
            <w:r>
              <w:rPr>
                <w:rFonts w:ascii="Browallia New" w:hAnsi="Browallia New" w:cs="Browallia New"/>
              </w:rPr>
              <w:t xml:space="preserve"> organizations view their risk management process as providing important strategic advantage. </w:t>
            </w:r>
            <w:r w:rsidR="00013FAD">
              <w:rPr>
                <w:rFonts w:ascii="Browallia New" w:hAnsi="Browallia New" w:cs="Browallia New"/>
              </w:rPr>
              <w:t>Only 29%</w:t>
            </w:r>
            <w:r>
              <w:rPr>
                <w:rFonts w:ascii="Browallia New" w:hAnsi="Browallia New" w:cs="Browallia New"/>
              </w:rPr>
              <w:t xml:space="preserve"> of the organization</w:t>
            </w:r>
            <w:r w:rsidR="002C4981">
              <w:rPr>
                <w:rFonts w:ascii="Browallia New" w:hAnsi="Browallia New" w:cs="Browallia New"/>
              </w:rPr>
              <w:t>s’</w:t>
            </w:r>
            <w:r>
              <w:rPr>
                <w:rFonts w:ascii="Browallia New" w:hAnsi="Browallia New" w:cs="Browallia New"/>
              </w:rPr>
              <w:t xml:space="preserve"> board of directors </w:t>
            </w:r>
            <w:r w:rsidR="00013FAD">
              <w:rPr>
                <w:rFonts w:ascii="Browallia New" w:hAnsi="Browallia New" w:cs="Browallia New"/>
              </w:rPr>
              <w:t xml:space="preserve">substantively </w:t>
            </w:r>
            <w:r>
              <w:rPr>
                <w:rFonts w:ascii="Browallia New" w:hAnsi="Browallia New" w:cs="Browallia New"/>
              </w:rPr>
              <w:t xml:space="preserve">discuss top risk exposures </w:t>
            </w:r>
            <w:r w:rsidR="00013FAD">
              <w:rPr>
                <w:rFonts w:ascii="Browallia New" w:hAnsi="Browallia New" w:cs="Browallia New"/>
              </w:rPr>
              <w:t xml:space="preserve">in a formal manner </w:t>
            </w:r>
            <w:r>
              <w:rPr>
                <w:rFonts w:ascii="Browallia New" w:hAnsi="Browallia New" w:cs="Browallia New"/>
              </w:rPr>
              <w:t>when they discuss the organization’s strategic plan</w:t>
            </w:r>
            <w:r w:rsidR="00B309AB" w:rsidRPr="00B309AB">
              <w:rPr>
                <w:rFonts w:ascii="Browallia New" w:hAnsi="Browallia New" w:cs="Browallia New"/>
              </w:rPr>
              <w:t>.</w:t>
            </w:r>
          </w:p>
        </w:tc>
      </w:tr>
    </w:tbl>
    <w:p w14:paraId="413D40FA"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5A0" w:firstRow="1" w:lastRow="0" w:firstColumn="1" w:lastColumn="1" w:noHBand="0" w:noVBand="1"/>
      </w:tblPr>
      <w:tblGrid>
        <w:gridCol w:w="660"/>
        <w:gridCol w:w="8635"/>
      </w:tblGrid>
      <w:tr w:rsidR="00BA4217" w14:paraId="42C65F91" w14:textId="77777777" w:rsidTr="008D7936">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65F29574"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6</w:t>
            </w:r>
          </w:p>
        </w:tc>
        <w:tc>
          <w:tcPr>
            <w:tcW w:w="8635" w:type="dxa"/>
            <w:tcBorders>
              <w:top w:val="nil"/>
              <w:left w:val="thickThinMediumGap" w:sz="24" w:space="0" w:color="C48B01" w:themeColor="accent2" w:themeShade="BF"/>
              <w:bottom w:val="nil"/>
              <w:right w:val="nil"/>
            </w:tcBorders>
          </w:tcPr>
          <w:p w14:paraId="265C6CCB" w14:textId="77777777" w:rsidR="00BA4217" w:rsidRDefault="00C73A7A" w:rsidP="00BF570F">
            <w:pPr>
              <w:spacing w:line="168" w:lineRule="auto"/>
              <w:jc w:val="both"/>
              <w:rPr>
                <w:rFonts w:ascii="Browallia New" w:hAnsi="Browallia New" w:cs="Browallia New"/>
                <w:sz w:val="28"/>
                <w:szCs w:val="28"/>
              </w:rPr>
            </w:pPr>
            <w:r w:rsidRPr="00DB2A6D">
              <w:rPr>
                <w:rFonts w:ascii="Browallia New" w:hAnsi="Browallia New" w:cs="Browallia New"/>
                <w:b/>
                <w:color w:val="0070C0"/>
                <w:sz w:val="28"/>
                <w:szCs w:val="28"/>
              </w:rPr>
              <w:t xml:space="preserve">Organizations have </w:t>
            </w:r>
            <w:r w:rsidR="00660F65">
              <w:rPr>
                <w:rFonts w:ascii="Browallia New" w:hAnsi="Browallia New" w:cs="Browallia New"/>
                <w:b/>
                <w:color w:val="0070C0"/>
                <w:sz w:val="28"/>
                <w:szCs w:val="28"/>
              </w:rPr>
              <w:t>some</w:t>
            </w:r>
            <w:r w:rsidR="00660F65" w:rsidRPr="00DB2A6D">
              <w:rPr>
                <w:rFonts w:ascii="Browallia New" w:hAnsi="Browallia New" w:cs="Browallia New"/>
                <w:b/>
                <w:color w:val="0070C0"/>
                <w:sz w:val="28"/>
                <w:szCs w:val="28"/>
              </w:rPr>
              <w:t xml:space="preserve"> </w:t>
            </w:r>
            <w:r w:rsidRPr="00DB2A6D">
              <w:rPr>
                <w:rFonts w:ascii="Browallia New" w:hAnsi="Browallia New" w:cs="Browallia New"/>
                <w:b/>
                <w:color w:val="0070C0"/>
                <w:sz w:val="28"/>
                <w:szCs w:val="28"/>
              </w:rPr>
              <w:t>elements of risk management processes</w:t>
            </w:r>
            <w:r w:rsidR="00B309AB" w:rsidRPr="00DB2A6D">
              <w:rPr>
                <w:rFonts w:ascii="Browallia New" w:hAnsi="Browallia New" w:cs="Browallia New"/>
                <w:b/>
                <w:color w:val="0070C0"/>
                <w:sz w:val="28"/>
                <w:szCs w:val="28"/>
              </w:rPr>
              <w:t>.</w:t>
            </w:r>
            <w:r w:rsidR="00B309AB" w:rsidRPr="00B309AB">
              <w:rPr>
                <w:rFonts w:ascii="Browallia New" w:hAnsi="Browallia New" w:cs="Browallia New"/>
                <w:color w:val="0070C0"/>
              </w:rPr>
              <w:t xml:space="preserve"> </w:t>
            </w:r>
            <w:r>
              <w:rPr>
                <w:rFonts w:ascii="Browallia New" w:hAnsi="Browallia New" w:cs="Browallia New"/>
              </w:rPr>
              <w:t xml:space="preserve">About </w:t>
            </w:r>
            <w:r w:rsidR="00A45F1C">
              <w:rPr>
                <w:rFonts w:ascii="Browallia New" w:hAnsi="Browallia New" w:cs="Browallia New"/>
              </w:rPr>
              <w:t>one-</w:t>
            </w:r>
            <w:r>
              <w:rPr>
                <w:rFonts w:ascii="Browallia New" w:hAnsi="Browallia New" w:cs="Browallia New"/>
              </w:rPr>
              <w:t xml:space="preserve">half </w:t>
            </w:r>
            <w:r w:rsidR="00013FAD">
              <w:rPr>
                <w:rFonts w:ascii="Browallia New" w:hAnsi="Browallia New" w:cs="Browallia New"/>
              </w:rPr>
              <w:t xml:space="preserve">(45%) </w:t>
            </w:r>
            <w:r>
              <w:rPr>
                <w:rFonts w:ascii="Browallia New" w:hAnsi="Browallia New" w:cs="Browallia New"/>
              </w:rPr>
              <w:t xml:space="preserve">of the organizations have a </w:t>
            </w:r>
            <w:r w:rsidR="002C4981">
              <w:rPr>
                <w:rFonts w:ascii="Browallia New" w:hAnsi="Browallia New" w:cs="Browallia New"/>
              </w:rPr>
              <w:t xml:space="preserve">risk management </w:t>
            </w:r>
            <w:r w:rsidR="00013FAD">
              <w:rPr>
                <w:rFonts w:ascii="Browallia New" w:hAnsi="Browallia New" w:cs="Browallia New"/>
              </w:rPr>
              <w:t>policy statement, with 43%</w:t>
            </w:r>
            <w:r w:rsidR="00A45F1C">
              <w:rPr>
                <w:rFonts w:ascii="Browallia New" w:hAnsi="Browallia New" w:cs="Browallia New"/>
              </w:rPr>
              <w:t xml:space="preserve"> </w:t>
            </w:r>
            <w:r>
              <w:rPr>
                <w:rFonts w:ascii="Browallia New" w:hAnsi="Browallia New" w:cs="Browallia New"/>
              </w:rPr>
              <w:t>maintain</w:t>
            </w:r>
            <w:r w:rsidR="00A45F1C">
              <w:rPr>
                <w:rFonts w:ascii="Browallia New" w:hAnsi="Browallia New" w:cs="Browallia New"/>
              </w:rPr>
              <w:t>ing</w:t>
            </w:r>
            <w:r>
              <w:rPr>
                <w:rFonts w:ascii="Browallia New" w:hAnsi="Browallia New" w:cs="Browallia New"/>
              </w:rPr>
              <w:t xml:space="preserve"> risk inventories at an enterprise level</w:t>
            </w:r>
            <w:r w:rsidR="00013FAD">
              <w:rPr>
                <w:rFonts w:ascii="Browallia New" w:hAnsi="Browallia New" w:cs="Browallia New"/>
              </w:rPr>
              <w:t>.  About 40%</w:t>
            </w:r>
            <w:r>
              <w:rPr>
                <w:rFonts w:ascii="Browallia New" w:hAnsi="Browallia New" w:cs="Browallia New"/>
              </w:rPr>
              <w:t xml:space="preserve"> have guidelines for assessing risk probabilities and impact. Most </w:t>
            </w:r>
            <w:r w:rsidR="00013FAD">
              <w:rPr>
                <w:rFonts w:ascii="Browallia New" w:hAnsi="Browallia New" w:cs="Browallia New"/>
              </w:rPr>
              <w:t xml:space="preserve">(75%) </w:t>
            </w:r>
            <w:r>
              <w:rPr>
                <w:rFonts w:ascii="Browallia New" w:hAnsi="Browallia New" w:cs="Browallia New"/>
              </w:rPr>
              <w:t>update risk inventories at least annually.</w:t>
            </w:r>
          </w:p>
        </w:tc>
      </w:tr>
    </w:tbl>
    <w:p w14:paraId="4F4D23E1"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4F0982A2" w14:textId="77777777" w:rsidTr="006617CE">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5D663F49"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7</w:t>
            </w:r>
          </w:p>
        </w:tc>
        <w:tc>
          <w:tcPr>
            <w:tcW w:w="8635" w:type="dxa"/>
            <w:tcBorders>
              <w:top w:val="nil"/>
              <w:left w:val="thickThinMediumGap" w:sz="24" w:space="0" w:color="C48B01" w:themeColor="accent2" w:themeShade="BF"/>
              <w:bottom w:val="nil"/>
              <w:right w:val="nil"/>
            </w:tcBorders>
          </w:tcPr>
          <w:p w14:paraId="3696B77A" w14:textId="77777777" w:rsidR="00BA4217" w:rsidRDefault="001F34D0" w:rsidP="00BF570F">
            <w:pPr>
              <w:spacing w:line="168" w:lineRule="auto"/>
              <w:jc w:val="both"/>
              <w:rPr>
                <w:rFonts w:ascii="Browallia New" w:hAnsi="Browallia New" w:cs="Browallia New"/>
                <w:sz w:val="28"/>
                <w:szCs w:val="28"/>
              </w:rPr>
            </w:pPr>
            <w:r w:rsidRPr="00DB2A6D">
              <w:rPr>
                <w:rFonts w:ascii="Browallia New" w:hAnsi="Browallia New" w:cs="Browallia New"/>
                <w:b/>
                <w:color w:val="0070C0"/>
                <w:sz w:val="28"/>
                <w:szCs w:val="28"/>
              </w:rPr>
              <w:t xml:space="preserve">Boards receive written reports </w:t>
            </w:r>
            <w:r w:rsidR="00F81526">
              <w:rPr>
                <w:rFonts w:ascii="Browallia New" w:hAnsi="Browallia New" w:cs="Browallia New"/>
                <w:b/>
                <w:color w:val="0070C0"/>
                <w:sz w:val="28"/>
                <w:szCs w:val="28"/>
              </w:rPr>
              <w:t xml:space="preserve">annually </w:t>
            </w:r>
            <w:r w:rsidRPr="00DB2A6D">
              <w:rPr>
                <w:rFonts w:ascii="Browallia New" w:hAnsi="Browallia New" w:cs="Browallia New"/>
                <w:b/>
                <w:color w:val="0070C0"/>
                <w:sz w:val="28"/>
                <w:szCs w:val="28"/>
              </w:rPr>
              <w:t>about top risks, but the underl</w:t>
            </w:r>
            <w:r w:rsidR="00D404E0">
              <w:rPr>
                <w:rFonts w:ascii="Browallia New" w:hAnsi="Browallia New" w:cs="Browallia New"/>
                <w:b/>
                <w:color w:val="0070C0"/>
                <w:sz w:val="28"/>
                <w:szCs w:val="28"/>
              </w:rPr>
              <w:t>y</w:t>
            </w:r>
            <w:r w:rsidRPr="00DB2A6D">
              <w:rPr>
                <w:rFonts w:ascii="Browallia New" w:hAnsi="Browallia New" w:cs="Browallia New"/>
                <w:b/>
                <w:color w:val="0070C0"/>
                <w:sz w:val="28"/>
                <w:szCs w:val="28"/>
              </w:rPr>
              <w:t>ing process may not be robust.</w:t>
            </w:r>
            <w:r>
              <w:rPr>
                <w:rFonts w:ascii="Browallia New" w:hAnsi="Browallia New" w:cs="Browallia New"/>
                <w:b/>
                <w:color w:val="0070C0"/>
              </w:rPr>
              <w:t xml:space="preserve">  </w:t>
            </w:r>
            <w:r w:rsidR="00013FAD">
              <w:rPr>
                <w:rFonts w:ascii="Browallia New" w:hAnsi="Browallia New" w:cs="Browallia New"/>
              </w:rPr>
              <w:t>Most</w:t>
            </w:r>
            <w:r w:rsidR="006617CE" w:rsidRPr="006617CE">
              <w:rPr>
                <w:rFonts w:ascii="Browallia New" w:hAnsi="Browallia New" w:cs="Browallia New"/>
              </w:rPr>
              <w:t xml:space="preserve"> boards of large</w:t>
            </w:r>
            <w:r w:rsidR="00013FAD">
              <w:rPr>
                <w:rFonts w:ascii="Browallia New" w:hAnsi="Browallia New" w:cs="Browallia New"/>
              </w:rPr>
              <w:t xml:space="preserve"> organizations (</w:t>
            </w:r>
            <w:r w:rsidR="00F81526">
              <w:rPr>
                <w:rFonts w:ascii="Browallia New" w:hAnsi="Browallia New" w:cs="Browallia New"/>
              </w:rPr>
              <w:t>82</w:t>
            </w:r>
            <w:r w:rsidR="00013FAD">
              <w:rPr>
                <w:rFonts w:ascii="Browallia New" w:hAnsi="Browallia New" w:cs="Browallia New"/>
              </w:rPr>
              <w:t xml:space="preserve">%) </w:t>
            </w:r>
            <w:r w:rsidR="006617CE">
              <w:rPr>
                <w:rFonts w:ascii="Browallia New" w:hAnsi="Browallia New" w:cs="Browallia New"/>
              </w:rPr>
              <w:t>or</w:t>
            </w:r>
            <w:r w:rsidR="006617CE" w:rsidRPr="006617CE">
              <w:rPr>
                <w:rFonts w:ascii="Browallia New" w:hAnsi="Browallia New" w:cs="Browallia New"/>
              </w:rPr>
              <w:t xml:space="preserve"> public companies </w:t>
            </w:r>
            <w:r w:rsidR="00013FAD">
              <w:rPr>
                <w:rFonts w:ascii="Browallia New" w:hAnsi="Browallia New" w:cs="Browallia New"/>
              </w:rPr>
              <w:t>(8</w:t>
            </w:r>
            <w:r w:rsidR="00F81526">
              <w:rPr>
                <w:rFonts w:ascii="Browallia New" w:hAnsi="Browallia New" w:cs="Browallia New"/>
              </w:rPr>
              <w:t>9</w:t>
            </w:r>
            <w:r w:rsidR="00013FAD">
              <w:rPr>
                <w:rFonts w:ascii="Browallia New" w:hAnsi="Browallia New" w:cs="Browallia New"/>
              </w:rPr>
              <w:t xml:space="preserve">%) </w:t>
            </w:r>
            <w:r w:rsidR="006617CE">
              <w:rPr>
                <w:rFonts w:ascii="Browallia New" w:hAnsi="Browallia New" w:cs="Browallia New"/>
              </w:rPr>
              <w:t xml:space="preserve">discuss </w:t>
            </w:r>
            <w:r w:rsidR="006617CE" w:rsidRPr="006617CE">
              <w:rPr>
                <w:rFonts w:ascii="Browallia New" w:hAnsi="Browallia New" w:cs="Browallia New"/>
              </w:rPr>
              <w:t>written reports</w:t>
            </w:r>
            <w:r w:rsidR="006617CE">
              <w:rPr>
                <w:rFonts w:ascii="Browallia New" w:hAnsi="Browallia New" w:cs="Browallia New"/>
              </w:rPr>
              <w:t xml:space="preserve"> about top risks</w:t>
            </w:r>
            <w:r w:rsidR="006617CE" w:rsidRPr="006617CE">
              <w:rPr>
                <w:rFonts w:ascii="Browallia New" w:hAnsi="Browallia New" w:cs="Browallia New"/>
              </w:rPr>
              <w:t xml:space="preserve"> at least annually</w:t>
            </w:r>
            <w:r w:rsidR="006617CE">
              <w:rPr>
                <w:rFonts w:ascii="Browallia New" w:hAnsi="Browallia New" w:cs="Browallia New"/>
              </w:rPr>
              <w:t>;</w:t>
            </w:r>
            <w:r w:rsidR="006617CE" w:rsidRPr="006617CE">
              <w:rPr>
                <w:rFonts w:ascii="Browallia New" w:hAnsi="Browallia New" w:cs="Browallia New"/>
              </w:rPr>
              <w:t xml:space="preserve"> however, </w:t>
            </w:r>
            <w:r w:rsidR="00D90329">
              <w:rPr>
                <w:rFonts w:ascii="Browallia New" w:hAnsi="Browallia New" w:cs="Browallia New"/>
              </w:rPr>
              <w:t>just</w:t>
            </w:r>
            <w:r w:rsidR="00F81526">
              <w:rPr>
                <w:rFonts w:ascii="Browallia New" w:hAnsi="Browallia New" w:cs="Browallia New"/>
              </w:rPr>
              <w:t xml:space="preserve"> 60%</w:t>
            </w:r>
            <w:r w:rsidR="006617CE" w:rsidRPr="006617CE">
              <w:rPr>
                <w:rFonts w:ascii="Browallia New" w:hAnsi="Browallia New" w:cs="Browallia New"/>
              </w:rPr>
              <w:t xml:space="preserve"> </w:t>
            </w:r>
            <w:r w:rsidR="00D90329">
              <w:rPr>
                <w:rFonts w:ascii="Browallia New" w:hAnsi="Browallia New" w:cs="Browallia New"/>
              </w:rPr>
              <w:t xml:space="preserve">of those </w:t>
            </w:r>
            <w:r w:rsidR="006617CE" w:rsidRPr="006617CE">
              <w:rPr>
                <w:rFonts w:ascii="Browallia New" w:hAnsi="Browallia New" w:cs="Browallia New"/>
              </w:rPr>
              <w:t xml:space="preserve">describe the underlying </w:t>
            </w:r>
            <w:r w:rsidR="006617CE">
              <w:rPr>
                <w:rFonts w:ascii="Browallia New" w:hAnsi="Browallia New" w:cs="Browallia New"/>
              </w:rPr>
              <w:t xml:space="preserve">risk management </w:t>
            </w:r>
            <w:r w:rsidR="006617CE" w:rsidRPr="006617CE">
              <w:rPr>
                <w:rFonts w:ascii="Browallia New" w:hAnsi="Browallia New" w:cs="Browallia New"/>
              </w:rPr>
              <w:t xml:space="preserve">process as </w:t>
            </w:r>
            <w:r w:rsidR="00F81526">
              <w:rPr>
                <w:rFonts w:ascii="Browallia New" w:hAnsi="Browallia New" w:cs="Browallia New"/>
              </w:rPr>
              <w:t>systematic</w:t>
            </w:r>
            <w:r w:rsidR="006617CE" w:rsidRPr="006617CE">
              <w:rPr>
                <w:rFonts w:ascii="Browallia New" w:hAnsi="Browallia New" w:cs="Browallia New"/>
              </w:rPr>
              <w:t xml:space="preserve"> or repeatable.</w:t>
            </w:r>
          </w:p>
        </w:tc>
      </w:tr>
    </w:tbl>
    <w:p w14:paraId="3AE56D59"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6C9F4B8B" w14:textId="77777777" w:rsidTr="006617CE">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0EA0C9C6"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8</w:t>
            </w:r>
          </w:p>
        </w:tc>
        <w:tc>
          <w:tcPr>
            <w:tcW w:w="8635" w:type="dxa"/>
            <w:tcBorders>
              <w:top w:val="nil"/>
              <w:left w:val="thickThinMediumGap" w:sz="24" w:space="0" w:color="C48B01" w:themeColor="accent2" w:themeShade="BF"/>
              <w:bottom w:val="nil"/>
              <w:right w:val="nil"/>
            </w:tcBorders>
          </w:tcPr>
          <w:p w14:paraId="49696D9F" w14:textId="77777777" w:rsidR="00BA4217" w:rsidRDefault="00013FAD" w:rsidP="008F72F2">
            <w:pPr>
              <w:spacing w:line="168" w:lineRule="auto"/>
              <w:jc w:val="both"/>
              <w:rPr>
                <w:rFonts w:ascii="Browallia New" w:hAnsi="Browallia New" w:cs="Browallia New"/>
                <w:sz w:val="28"/>
                <w:szCs w:val="28"/>
              </w:rPr>
            </w:pPr>
            <w:r>
              <w:rPr>
                <w:rFonts w:ascii="Browallia New" w:hAnsi="Browallia New" w:cs="Browallia New"/>
                <w:b/>
                <w:color w:val="0070C0"/>
                <w:sz w:val="28"/>
                <w:szCs w:val="28"/>
              </w:rPr>
              <w:t>Opportunities exist</w:t>
            </w:r>
            <w:r w:rsidR="006617CE" w:rsidRPr="00DB2A6D">
              <w:rPr>
                <w:rFonts w:ascii="Browallia New" w:hAnsi="Browallia New" w:cs="Browallia New"/>
                <w:b/>
                <w:color w:val="0070C0"/>
                <w:sz w:val="28"/>
                <w:szCs w:val="28"/>
              </w:rPr>
              <w:t xml:space="preserve"> for improvement </w:t>
            </w:r>
            <w:proofErr w:type="gramStart"/>
            <w:r w:rsidR="006617CE" w:rsidRPr="00DB2A6D">
              <w:rPr>
                <w:rFonts w:ascii="Browallia New" w:hAnsi="Browallia New" w:cs="Browallia New"/>
                <w:b/>
                <w:color w:val="0070C0"/>
                <w:sz w:val="28"/>
                <w:szCs w:val="28"/>
              </w:rPr>
              <w:t>in the nature of risk</w:t>
            </w:r>
            <w:proofErr w:type="gramEnd"/>
            <w:r w:rsidR="006617CE" w:rsidRPr="00DB2A6D">
              <w:rPr>
                <w:rFonts w:ascii="Browallia New" w:hAnsi="Browallia New" w:cs="Browallia New"/>
                <w:b/>
                <w:color w:val="0070C0"/>
                <w:sz w:val="28"/>
                <w:szCs w:val="28"/>
              </w:rPr>
              <w:t xml:space="preserve"> information being reported to senior management</w:t>
            </w:r>
            <w:r w:rsidR="00B309AB" w:rsidRPr="00DB2A6D">
              <w:rPr>
                <w:rFonts w:ascii="Browallia New" w:hAnsi="Browallia New" w:cs="Browallia New"/>
                <w:b/>
                <w:color w:val="0070C0"/>
                <w:sz w:val="28"/>
                <w:szCs w:val="28"/>
              </w:rPr>
              <w:t>.</w:t>
            </w:r>
            <w:r w:rsidR="00B309AB" w:rsidRPr="00B309AB">
              <w:rPr>
                <w:rFonts w:ascii="Browallia New" w:hAnsi="Browallia New" w:cs="Browallia New"/>
                <w:color w:val="0070C0"/>
              </w:rPr>
              <w:t xml:space="preserve"> </w:t>
            </w:r>
            <w:r w:rsidR="00F81526">
              <w:rPr>
                <w:rFonts w:ascii="Browallia New" w:hAnsi="Browallia New" w:cs="Browallia New"/>
              </w:rPr>
              <w:t xml:space="preserve">Forty-one percent (41%) </w:t>
            </w:r>
            <w:r w:rsidR="006617CE">
              <w:rPr>
                <w:rFonts w:ascii="Browallia New" w:hAnsi="Browallia New" w:cs="Browallia New"/>
              </w:rPr>
              <w:t xml:space="preserve">of the respondents admit they are “not at all” or only “minimally” satisfied with the nature and extent of </w:t>
            </w:r>
            <w:r w:rsidR="008F72F2">
              <w:rPr>
                <w:rFonts w:ascii="Browallia New" w:hAnsi="Browallia New" w:cs="Browallia New"/>
              </w:rPr>
              <w:t xml:space="preserve">internal </w:t>
            </w:r>
            <w:r w:rsidR="006617CE">
              <w:rPr>
                <w:rFonts w:ascii="Browallia New" w:hAnsi="Browallia New" w:cs="Browallia New"/>
              </w:rPr>
              <w:t xml:space="preserve">reporting of key risk indicators </w:t>
            </w:r>
            <w:r w:rsidR="008F72F2">
              <w:rPr>
                <w:rFonts w:ascii="Browallia New" w:hAnsi="Browallia New" w:cs="Browallia New"/>
              </w:rPr>
              <w:t xml:space="preserve">that might be useful for monitoring emerging risks by </w:t>
            </w:r>
            <w:r w:rsidR="006617CE">
              <w:rPr>
                <w:rFonts w:ascii="Browallia New" w:hAnsi="Browallia New" w:cs="Browallia New"/>
              </w:rPr>
              <w:t xml:space="preserve">senior executives. </w:t>
            </w:r>
          </w:p>
        </w:tc>
      </w:tr>
    </w:tbl>
    <w:p w14:paraId="36220B15"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297C6EC8" w14:textId="77777777" w:rsidTr="008F54DC">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530FFA92"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9</w:t>
            </w:r>
          </w:p>
        </w:tc>
        <w:tc>
          <w:tcPr>
            <w:tcW w:w="8635" w:type="dxa"/>
            <w:tcBorders>
              <w:top w:val="nil"/>
              <w:left w:val="thickThinMediumGap" w:sz="24" w:space="0" w:color="C48B01" w:themeColor="accent2" w:themeShade="BF"/>
              <w:bottom w:val="nil"/>
              <w:right w:val="nil"/>
            </w:tcBorders>
          </w:tcPr>
          <w:p w14:paraId="270C99FE" w14:textId="77777777" w:rsidR="00BA4217" w:rsidRDefault="008F54DC" w:rsidP="00BF570F">
            <w:pPr>
              <w:spacing w:line="168" w:lineRule="auto"/>
              <w:jc w:val="both"/>
              <w:rPr>
                <w:rFonts w:ascii="Browallia New" w:hAnsi="Browallia New" w:cs="Browallia New"/>
                <w:sz w:val="28"/>
                <w:szCs w:val="28"/>
              </w:rPr>
            </w:pPr>
            <w:r w:rsidRPr="00DB2A6D">
              <w:rPr>
                <w:rFonts w:ascii="Browallia New" w:hAnsi="Browallia New" w:cs="Browallia New"/>
                <w:b/>
                <w:color w:val="0070C0"/>
                <w:sz w:val="28"/>
                <w:szCs w:val="28"/>
              </w:rPr>
              <w:t xml:space="preserve">Few organizations are linking risk management responsibilities to </w:t>
            </w:r>
            <w:r w:rsidR="00660F65">
              <w:rPr>
                <w:rFonts w:ascii="Browallia New" w:hAnsi="Browallia New" w:cs="Browallia New"/>
                <w:b/>
                <w:color w:val="0070C0"/>
                <w:sz w:val="28"/>
                <w:szCs w:val="28"/>
              </w:rPr>
              <w:t>incentive</w:t>
            </w:r>
            <w:r w:rsidR="00660F65" w:rsidRPr="00DB2A6D">
              <w:rPr>
                <w:rFonts w:ascii="Browallia New" w:hAnsi="Browallia New" w:cs="Browallia New"/>
                <w:b/>
                <w:color w:val="0070C0"/>
                <w:sz w:val="28"/>
                <w:szCs w:val="28"/>
              </w:rPr>
              <w:t xml:space="preserve"> </w:t>
            </w:r>
            <w:r w:rsidRPr="00DB2A6D">
              <w:rPr>
                <w:rFonts w:ascii="Browallia New" w:hAnsi="Browallia New" w:cs="Browallia New"/>
                <w:b/>
                <w:color w:val="0070C0"/>
                <w:sz w:val="28"/>
                <w:szCs w:val="28"/>
              </w:rPr>
              <w:t>compensation.</w:t>
            </w:r>
            <w:r w:rsidR="00B309AB" w:rsidRPr="00B309AB">
              <w:rPr>
                <w:rFonts w:ascii="Browallia New" w:hAnsi="Browallia New" w:cs="Browallia New"/>
                <w:color w:val="0070C0"/>
              </w:rPr>
              <w:t xml:space="preserve"> </w:t>
            </w:r>
            <w:r>
              <w:rPr>
                <w:rFonts w:ascii="Browallia New" w:hAnsi="Browallia New" w:cs="Browallia New"/>
              </w:rPr>
              <w:t xml:space="preserve">The </w:t>
            </w:r>
            <w:r w:rsidR="00DB2A6D">
              <w:rPr>
                <w:rFonts w:ascii="Browallia New" w:hAnsi="Browallia New" w:cs="Browallia New"/>
              </w:rPr>
              <w:t>l</w:t>
            </w:r>
            <w:r>
              <w:rPr>
                <w:rFonts w:ascii="Browallia New" w:hAnsi="Browallia New" w:cs="Browallia New"/>
              </w:rPr>
              <w:t xml:space="preserve">ack of risk management maturity may be tied to the challenges of providing sufficient incentives for them to engage in risk management activities.  Most </w:t>
            </w:r>
            <w:r w:rsidR="00F81526">
              <w:rPr>
                <w:rFonts w:ascii="Browallia New" w:hAnsi="Browallia New" w:cs="Browallia New"/>
              </w:rPr>
              <w:t xml:space="preserve">(66%) </w:t>
            </w:r>
            <w:r>
              <w:rPr>
                <w:rFonts w:ascii="Browallia New" w:hAnsi="Browallia New" w:cs="Browallia New"/>
              </w:rPr>
              <w:t xml:space="preserve">have not included explicit components of risk management activities in compensation </w:t>
            </w:r>
            <w:r w:rsidR="00F81526">
              <w:rPr>
                <w:rFonts w:ascii="Browallia New" w:hAnsi="Browallia New" w:cs="Browallia New"/>
              </w:rPr>
              <w:t>plans</w:t>
            </w:r>
            <w:r w:rsidR="00B309AB" w:rsidRPr="00B309AB">
              <w:rPr>
                <w:rFonts w:ascii="Browallia New" w:hAnsi="Browallia New" w:cs="Browallia New"/>
              </w:rPr>
              <w:t>.</w:t>
            </w:r>
          </w:p>
        </w:tc>
      </w:tr>
    </w:tbl>
    <w:p w14:paraId="25B2A967" w14:textId="77777777" w:rsidR="00BA4217" w:rsidRPr="007C52ED" w:rsidRDefault="00BA4217" w:rsidP="00BF570F">
      <w:pPr>
        <w:spacing w:after="0" w:line="180" w:lineRule="auto"/>
        <w:jc w:val="both"/>
        <w:rPr>
          <w:rFonts w:ascii="Browallia New" w:hAnsi="Browallia New" w:cs="Browallia New"/>
          <w:sz w:val="18"/>
          <w:szCs w:val="18"/>
        </w:rPr>
      </w:pPr>
    </w:p>
    <w:tbl>
      <w:tblPr>
        <w:tblStyle w:val="TableGrid"/>
        <w:tblW w:w="0" w:type="auto"/>
        <w:tblLook w:val="04A0" w:firstRow="1" w:lastRow="0" w:firstColumn="1" w:lastColumn="0" w:noHBand="0" w:noVBand="1"/>
      </w:tblPr>
      <w:tblGrid>
        <w:gridCol w:w="660"/>
        <w:gridCol w:w="8635"/>
      </w:tblGrid>
      <w:tr w:rsidR="00BA4217" w14:paraId="1B4559EF" w14:textId="77777777" w:rsidTr="007C52ED">
        <w:tc>
          <w:tcPr>
            <w:tcW w:w="660" w:type="dxa"/>
            <w:tcBorders>
              <w:top w:val="thickThinMediumGap" w:sz="24" w:space="0" w:color="C48B01" w:themeColor="accent2" w:themeShade="BF"/>
              <w:left w:val="thickThinMediumGap" w:sz="24" w:space="0" w:color="C48B01" w:themeColor="accent2" w:themeShade="BF"/>
              <w:bottom w:val="thickThinMediumGap" w:sz="24" w:space="0" w:color="C48B01" w:themeColor="accent2" w:themeShade="BF"/>
              <w:right w:val="thickThinMediumGap" w:sz="24" w:space="0" w:color="C48B01" w:themeColor="accent2" w:themeShade="BF"/>
            </w:tcBorders>
          </w:tcPr>
          <w:p w14:paraId="5219977A" w14:textId="77777777" w:rsidR="00BA4217" w:rsidRPr="00C07837" w:rsidRDefault="00BA4217" w:rsidP="00BF570F">
            <w:pPr>
              <w:spacing w:line="180" w:lineRule="auto"/>
              <w:jc w:val="both"/>
              <w:rPr>
                <w:rFonts w:ascii="Browallia New" w:hAnsi="Browallia New" w:cs="Browallia New"/>
                <w:b/>
                <w:sz w:val="40"/>
                <w:szCs w:val="40"/>
              </w:rPr>
            </w:pPr>
            <w:r>
              <w:rPr>
                <w:rFonts w:ascii="Browallia New" w:hAnsi="Browallia New" w:cs="Browallia New"/>
                <w:b/>
                <w:sz w:val="40"/>
                <w:szCs w:val="40"/>
              </w:rPr>
              <w:t>10</w:t>
            </w:r>
          </w:p>
        </w:tc>
        <w:tc>
          <w:tcPr>
            <w:tcW w:w="8635" w:type="dxa"/>
            <w:tcBorders>
              <w:top w:val="nil"/>
              <w:left w:val="thickThinMediumGap" w:sz="24" w:space="0" w:color="C48B01" w:themeColor="accent2" w:themeShade="BF"/>
              <w:bottom w:val="nil"/>
              <w:right w:val="nil"/>
            </w:tcBorders>
          </w:tcPr>
          <w:p w14:paraId="3AD512F7" w14:textId="77777777" w:rsidR="00BA4217" w:rsidRDefault="00F81526" w:rsidP="00BF570F">
            <w:pPr>
              <w:spacing w:line="168" w:lineRule="auto"/>
              <w:jc w:val="both"/>
              <w:rPr>
                <w:rFonts w:ascii="Browallia New" w:hAnsi="Browallia New" w:cs="Browallia New"/>
                <w:sz w:val="28"/>
                <w:szCs w:val="28"/>
              </w:rPr>
            </w:pPr>
            <w:r>
              <w:rPr>
                <w:rFonts w:ascii="Browallia New" w:hAnsi="Browallia New" w:cs="Browallia New"/>
                <w:b/>
                <w:color w:val="0070C0"/>
                <w:sz w:val="28"/>
                <w:szCs w:val="28"/>
              </w:rPr>
              <w:t>Different</w:t>
            </w:r>
            <w:r w:rsidR="007C52ED" w:rsidRPr="00DB2A6D">
              <w:rPr>
                <w:rFonts w:ascii="Browallia New" w:hAnsi="Browallia New" w:cs="Browallia New"/>
                <w:b/>
                <w:color w:val="0070C0"/>
                <w:sz w:val="28"/>
                <w:szCs w:val="28"/>
              </w:rPr>
              <w:t xml:space="preserve"> barriers exist that limit progress in how organizations manage risks</w:t>
            </w:r>
            <w:r w:rsidR="00B309AB" w:rsidRPr="00DB2A6D">
              <w:rPr>
                <w:rFonts w:ascii="Browallia New" w:hAnsi="Browallia New" w:cs="Browallia New"/>
                <w:b/>
                <w:color w:val="0070C0"/>
                <w:sz w:val="28"/>
                <w:szCs w:val="28"/>
              </w:rPr>
              <w:t>.</w:t>
            </w:r>
            <w:r w:rsidR="00B309AB" w:rsidRPr="00B309AB">
              <w:rPr>
                <w:rFonts w:ascii="Browallia New" w:hAnsi="Browallia New" w:cs="Browallia New"/>
                <w:color w:val="0070C0"/>
              </w:rPr>
              <w:t xml:space="preserve"> </w:t>
            </w:r>
            <w:r w:rsidR="007C52ED">
              <w:rPr>
                <w:rFonts w:ascii="Browallia New" w:hAnsi="Browallia New" w:cs="Browallia New"/>
              </w:rPr>
              <w:t xml:space="preserve">Respondents of organizations that have not yet implemented an enterprise-wide risk management process indicate that one impediment is the belief that the benefits of risk management do not exceed the costs or there are too many </w:t>
            </w:r>
            <w:r w:rsidR="00D404E0">
              <w:rPr>
                <w:rFonts w:ascii="Browallia New" w:hAnsi="Browallia New" w:cs="Browallia New"/>
              </w:rPr>
              <w:t xml:space="preserve">other </w:t>
            </w:r>
            <w:r w:rsidR="007C52ED">
              <w:rPr>
                <w:rFonts w:ascii="Browallia New" w:hAnsi="Browallia New" w:cs="Browallia New"/>
              </w:rPr>
              <w:t>pressing needs.</w:t>
            </w:r>
          </w:p>
        </w:tc>
      </w:tr>
    </w:tbl>
    <w:p w14:paraId="4E97F53F" w14:textId="77777777" w:rsidR="00C07837" w:rsidRDefault="007C52ED" w:rsidP="00BF570F">
      <w:pPr>
        <w:spacing w:before="120" w:line="204" w:lineRule="auto"/>
        <w:jc w:val="both"/>
        <w:rPr>
          <w:rFonts w:ascii="Browallia New" w:hAnsi="Browallia New" w:cs="Browallia New"/>
          <w:sz w:val="24"/>
          <w:szCs w:val="24"/>
        </w:rPr>
      </w:pPr>
      <w:r w:rsidRPr="00583807">
        <w:rPr>
          <w:rFonts w:ascii="Browallia New" w:hAnsi="Browallia New" w:cs="Browallia New"/>
          <w:sz w:val="24"/>
          <w:szCs w:val="24"/>
        </w:rPr>
        <w:t xml:space="preserve">While there is some indication that management efforts related to enterprise-wide risk oversight are increasing over time, there continues to be </w:t>
      </w:r>
      <w:r w:rsidR="00207652" w:rsidRPr="00583807">
        <w:rPr>
          <w:rFonts w:ascii="Browallia New" w:hAnsi="Browallia New" w:cs="Browallia New"/>
          <w:sz w:val="24"/>
          <w:szCs w:val="24"/>
        </w:rPr>
        <w:t xml:space="preserve">noticeable </w:t>
      </w:r>
      <w:r w:rsidRPr="00583807">
        <w:rPr>
          <w:rFonts w:ascii="Browallia New" w:hAnsi="Browallia New" w:cs="Browallia New"/>
          <w:sz w:val="24"/>
          <w:szCs w:val="24"/>
        </w:rPr>
        <w:t xml:space="preserve">room for improving how organizations identify, manage, and keep their eyes on risks that may emerge </w:t>
      </w:r>
      <w:r w:rsidR="00207652" w:rsidRPr="00583807">
        <w:rPr>
          <w:rFonts w:ascii="Browallia New" w:hAnsi="Browallia New" w:cs="Browallia New"/>
          <w:sz w:val="24"/>
          <w:szCs w:val="24"/>
        </w:rPr>
        <w:t xml:space="preserve">and </w:t>
      </w:r>
      <w:r w:rsidRPr="00583807">
        <w:rPr>
          <w:rFonts w:ascii="Browallia New" w:hAnsi="Browallia New" w:cs="Browallia New"/>
          <w:sz w:val="24"/>
          <w:szCs w:val="24"/>
        </w:rPr>
        <w:t xml:space="preserve">significantly impact their ability to achieve strategic goals. This report puts </w:t>
      </w:r>
      <w:r w:rsidR="00D404E0" w:rsidRPr="00583807">
        <w:rPr>
          <w:rFonts w:ascii="Browallia New" w:hAnsi="Browallia New" w:cs="Browallia New"/>
          <w:sz w:val="24"/>
          <w:szCs w:val="24"/>
        </w:rPr>
        <w:t>a</w:t>
      </w:r>
      <w:r w:rsidRPr="00583807">
        <w:rPr>
          <w:rFonts w:ascii="Browallia New" w:hAnsi="Browallia New" w:cs="Browallia New"/>
          <w:sz w:val="24"/>
          <w:szCs w:val="24"/>
        </w:rPr>
        <w:t xml:space="preserve"> spotlight on </w:t>
      </w:r>
      <w:proofErr w:type="gramStart"/>
      <w:r w:rsidRPr="00583807">
        <w:rPr>
          <w:rFonts w:ascii="Browallia New" w:hAnsi="Browallia New" w:cs="Browallia New"/>
          <w:sz w:val="24"/>
          <w:szCs w:val="24"/>
        </w:rPr>
        <w:t>a number o</w:t>
      </w:r>
      <w:r w:rsidR="00D404E0" w:rsidRPr="00583807">
        <w:rPr>
          <w:rFonts w:ascii="Browallia New" w:hAnsi="Browallia New" w:cs="Browallia New"/>
          <w:sz w:val="24"/>
          <w:szCs w:val="24"/>
        </w:rPr>
        <w:t>f</w:t>
      </w:r>
      <w:proofErr w:type="gramEnd"/>
      <w:r w:rsidRPr="00583807">
        <w:rPr>
          <w:rFonts w:ascii="Browallia New" w:hAnsi="Browallia New" w:cs="Browallia New"/>
          <w:sz w:val="24"/>
          <w:szCs w:val="24"/>
        </w:rPr>
        <w:t xml:space="preserve"> risk management practices that organizations may want to consider as they seek to strengthen their ability to proactively and strategically navigate rapidly emerging risks</w:t>
      </w:r>
      <w:r w:rsidR="00DB2A6D" w:rsidRPr="00583807">
        <w:rPr>
          <w:rFonts w:ascii="Browallia New" w:hAnsi="Browallia New" w:cs="Browallia New"/>
          <w:sz w:val="24"/>
          <w:szCs w:val="24"/>
        </w:rPr>
        <w:t>.</w:t>
      </w:r>
    </w:p>
    <w:p w14:paraId="1428D5AA" w14:textId="77777777" w:rsidR="00181B6D" w:rsidRDefault="00181B6D" w:rsidP="00BF570F">
      <w:pPr>
        <w:spacing w:before="120" w:line="204" w:lineRule="auto"/>
        <w:jc w:val="both"/>
        <w:rPr>
          <w:rFonts w:ascii="Browallia New" w:hAnsi="Browallia New" w:cs="Browallia New"/>
          <w:sz w:val="24"/>
          <w:szCs w:val="24"/>
        </w:rPr>
      </w:pPr>
    </w:p>
    <w:p w14:paraId="36A86068" w14:textId="77777777" w:rsidR="00BA4217" w:rsidRPr="00181B6D" w:rsidRDefault="00BA4217" w:rsidP="00181B6D">
      <w:pPr>
        <w:pStyle w:val="Heading1"/>
      </w:pPr>
      <w:r w:rsidRPr="00181B6D">
        <w:lastRenderedPageBreak/>
        <w:t xml:space="preserve">CHALLENGING RISK ENVIRONMENT                                                                                                  </w:t>
      </w:r>
    </w:p>
    <w:p w14:paraId="74874C8C" w14:textId="77777777" w:rsidR="00BA4217" w:rsidRPr="00693F8F" w:rsidRDefault="00BA4217" w:rsidP="00BA4217">
      <w:pPr>
        <w:pStyle w:val="ListParagraph"/>
        <w:numPr>
          <w:ilvl w:val="0"/>
          <w:numId w:val="35"/>
        </w:numPr>
        <w:spacing w:after="0" w:line="204" w:lineRule="auto"/>
        <w:ind w:right="432"/>
        <w:jc w:val="both"/>
        <w:rPr>
          <w:rFonts w:ascii="Browallia New" w:hAnsi="Browallia New" w:cs="Browallia New"/>
          <w:b/>
          <w:i/>
          <w:color w:val="0070C0"/>
          <w:sz w:val="28"/>
          <w:szCs w:val="28"/>
        </w:rPr>
      </w:pPr>
      <w:r w:rsidRPr="00693F8F">
        <w:rPr>
          <w:rFonts w:ascii="Browallia New" w:hAnsi="Browallia New" w:cs="Browallia New"/>
          <w:b/>
          <w:i/>
          <w:color w:val="0070C0"/>
          <w:sz w:val="28"/>
          <w:szCs w:val="28"/>
        </w:rPr>
        <w:t>The volume an</w:t>
      </w:r>
      <w:r>
        <w:rPr>
          <w:rFonts w:ascii="Browallia New" w:hAnsi="Browallia New" w:cs="Browallia New"/>
          <w:b/>
          <w:i/>
          <w:color w:val="0070C0"/>
          <w:sz w:val="28"/>
          <w:szCs w:val="28"/>
        </w:rPr>
        <w:t xml:space="preserve">d complexities of risks in the </w:t>
      </w:r>
      <w:r w:rsidRPr="00693F8F">
        <w:rPr>
          <w:rFonts w:ascii="Browallia New" w:hAnsi="Browallia New" w:cs="Browallia New"/>
          <w:b/>
          <w:i/>
          <w:color w:val="0070C0"/>
          <w:sz w:val="28"/>
          <w:szCs w:val="28"/>
        </w:rPr>
        <w:t>global business environment are increasing.</w:t>
      </w:r>
    </w:p>
    <w:p w14:paraId="05907DBD" w14:textId="77777777" w:rsidR="00BA4217" w:rsidRPr="00693F8F" w:rsidRDefault="00BA4217" w:rsidP="00BA4217">
      <w:pPr>
        <w:pStyle w:val="ListParagraph"/>
        <w:numPr>
          <w:ilvl w:val="0"/>
          <w:numId w:val="35"/>
        </w:numPr>
        <w:spacing w:after="0" w:line="204" w:lineRule="auto"/>
        <w:ind w:right="432"/>
        <w:jc w:val="both"/>
        <w:rPr>
          <w:rFonts w:ascii="Browallia New" w:hAnsi="Browallia New" w:cs="Browallia New"/>
          <w:b/>
          <w:i/>
          <w:color w:val="0070C0"/>
          <w:sz w:val="28"/>
          <w:szCs w:val="28"/>
        </w:rPr>
      </w:pPr>
      <w:r w:rsidRPr="00693F8F">
        <w:rPr>
          <w:rFonts w:ascii="Browallia New" w:hAnsi="Browallia New" w:cs="Browallia New"/>
          <w:b/>
          <w:i/>
          <w:color w:val="0070C0"/>
          <w:sz w:val="28"/>
          <w:szCs w:val="28"/>
        </w:rPr>
        <w:t>Risks are triggering significant operational surprises.</w:t>
      </w:r>
    </w:p>
    <w:p w14:paraId="13347E46" w14:textId="77777777" w:rsidR="00BA4217" w:rsidRPr="00693F8F" w:rsidRDefault="00BA4217" w:rsidP="00BA4217">
      <w:pPr>
        <w:pStyle w:val="ListParagraph"/>
        <w:numPr>
          <w:ilvl w:val="0"/>
          <w:numId w:val="35"/>
        </w:numPr>
        <w:spacing w:after="0" w:line="204" w:lineRule="auto"/>
        <w:ind w:right="432"/>
        <w:jc w:val="both"/>
        <w:rPr>
          <w:rFonts w:ascii="Browallia New" w:hAnsi="Browallia New" w:cs="Browallia New"/>
          <w:b/>
          <w:i/>
          <w:color w:val="0070C0"/>
          <w:sz w:val="28"/>
          <w:szCs w:val="28"/>
        </w:rPr>
      </w:pPr>
      <w:r w:rsidRPr="00693F8F">
        <w:rPr>
          <w:rFonts w:ascii="Browallia New" w:hAnsi="Browallia New" w:cs="Browallia New"/>
          <w:b/>
          <w:i/>
          <w:color w:val="0070C0"/>
          <w:sz w:val="28"/>
          <w:szCs w:val="28"/>
        </w:rPr>
        <w:t>The management of risks is not getting easier.</w:t>
      </w:r>
    </w:p>
    <w:p w14:paraId="5FDD0943" w14:textId="77777777" w:rsidR="004F14EC" w:rsidRDefault="00536042" w:rsidP="00207652">
      <w:pPr>
        <w:spacing w:before="120" w:after="0"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651584" behindDoc="0" locked="0" layoutInCell="0" allowOverlap="1" wp14:anchorId="3E1F4B5A" wp14:editId="7B7DF9CC">
                <wp:simplePos x="0" y="0"/>
                <wp:positionH relativeFrom="margin">
                  <wp:posOffset>3473335</wp:posOffset>
                </wp:positionH>
                <wp:positionV relativeFrom="margin">
                  <wp:posOffset>1935480</wp:posOffset>
                </wp:positionV>
                <wp:extent cx="2498090" cy="982980"/>
                <wp:effectExtent l="19050" t="19050" r="16510" b="26670"/>
                <wp:wrapSquare wrapText="bothSides"/>
                <wp:docPr id="20"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090" cy="98298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54643A90" w14:textId="77777777" w:rsidR="00206200" w:rsidRPr="003B1178" w:rsidRDefault="00206200" w:rsidP="008172DB">
                            <w:pPr>
                              <w:shd w:val="clear" w:color="auto" w:fill="C48B01" w:themeFill="accent2" w:themeFillShade="BF"/>
                              <w:spacing w:line="192" w:lineRule="auto"/>
                              <w:jc w:val="center"/>
                              <w:rPr>
                                <w:rFonts w:ascii="Browallia New" w:hAnsi="Browallia New" w:cs="Browallia New"/>
                                <w:b/>
                                <w:iCs/>
                                <w:color w:val="232D46" w:themeColor="accent6" w:themeShade="80"/>
                                <w:sz w:val="24"/>
                                <w:szCs w:val="24"/>
                              </w:rPr>
                            </w:pPr>
                            <w:proofErr w:type="gramStart"/>
                            <w:r w:rsidRPr="003B1178">
                              <w:rPr>
                                <w:rFonts w:ascii="Browallia New" w:hAnsi="Browallia New" w:cs="Browallia New"/>
                                <w:b/>
                                <w:iCs/>
                                <w:color w:val="232D46" w:themeColor="accent6" w:themeShade="80"/>
                                <w:sz w:val="24"/>
                                <w:szCs w:val="24"/>
                              </w:rPr>
                              <w:t>The majority of</w:t>
                            </w:r>
                            <w:proofErr w:type="gramEnd"/>
                            <w:r w:rsidRPr="003B1178">
                              <w:rPr>
                                <w:rFonts w:ascii="Browallia New" w:hAnsi="Browallia New" w:cs="Browallia New"/>
                                <w:b/>
                                <w:iCs/>
                                <w:color w:val="232D46" w:themeColor="accent6" w:themeShade="80"/>
                                <w:sz w:val="24"/>
                                <w:szCs w:val="24"/>
                              </w:rPr>
                              <w:t xml:space="preserve"> respondents believe the volume and complexity of risks have increased “mostly” or “extensively” in the past five years, and that finding is consistent across various types of organizations.</w:t>
                            </w:r>
                          </w:p>
                          <w:p w14:paraId="2427871F" w14:textId="77777777" w:rsidR="00206200" w:rsidRPr="00DA236B" w:rsidRDefault="00206200" w:rsidP="00FB3181">
                            <w:pPr>
                              <w:shd w:val="clear" w:color="auto" w:fill="FED36B" w:themeFill="accent2" w:themeFillTint="99"/>
                              <w:jc w:val="center"/>
                              <w:rPr>
                                <w:rFonts w:asciiTheme="majorHAnsi" w:hAnsiTheme="majorHAnsi" w:cs="Browallia New"/>
                                <w:b/>
                                <w:iCs/>
                                <w:sz w:val="18"/>
                                <w:szCs w:val="18"/>
                              </w:rPr>
                            </w:pP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E1F4B5A" id="AutoShape 99" o:spid="_x0000_s1027" style="position:absolute;left:0;text-align:left;margin-left:273.5pt;margin-top:152.4pt;width:196.7pt;height:77.4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" o:allowincell="f" fillcolor="#c48b01 [2405]" strokecolor="#1a6da6" strokeweight="3pt">
                <v:textbox inset="3.6pt,,3.6pt">
                  <w:txbxContent>
                    <w:p w14:paraId="54643A90" w14:textId="77777777" w:rsidR="00206200" w:rsidRPr="003B1178" w:rsidRDefault="00206200" w:rsidP="008172DB">
                      <w:pPr>
                        <w:shd w:val="clear" w:color="auto" w:fill="C48B01" w:themeFill="accent2" w:themeFillShade="BF"/>
                        <w:spacing w:line="192" w:lineRule="auto"/>
                        <w:jc w:val="center"/>
                        <w:rPr>
                          <w:rFonts w:ascii="Browallia New" w:hAnsi="Browallia New" w:cs="Browallia New"/>
                          <w:b/>
                          <w:iCs/>
                          <w:color w:val="232D46" w:themeColor="accent6" w:themeShade="80"/>
                          <w:sz w:val="24"/>
                          <w:szCs w:val="24"/>
                        </w:rPr>
                      </w:pPr>
                      <w:proofErr w:type="gramStart"/>
                      <w:r w:rsidRPr="003B1178">
                        <w:rPr>
                          <w:rFonts w:ascii="Browallia New" w:hAnsi="Browallia New" w:cs="Browallia New"/>
                          <w:b/>
                          <w:iCs/>
                          <w:color w:val="232D46" w:themeColor="accent6" w:themeShade="80"/>
                          <w:sz w:val="24"/>
                          <w:szCs w:val="24"/>
                        </w:rPr>
                        <w:t>The majority of</w:t>
                      </w:r>
                      <w:proofErr w:type="gramEnd"/>
                      <w:r w:rsidRPr="003B1178">
                        <w:rPr>
                          <w:rFonts w:ascii="Browallia New" w:hAnsi="Browallia New" w:cs="Browallia New"/>
                          <w:b/>
                          <w:iCs/>
                          <w:color w:val="232D46" w:themeColor="accent6" w:themeShade="80"/>
                          <w:sz w:val="24"/>
                          <w:szCs w:val="24"/>
                        </w:rPr>
                        <w:t xml:space="preserve"> respondents believe the volume and complexity of risks have increased “mostly” or “extensively” in the past five years, and that finding is consistent across various types of organizations.</w:t>
                      </w:r>
                    </w:p>
                    <w:p w14:paraId="2427871F" w14:textId="77777777" w:rsidR="00206200" w:rsidRPr="00DA236B" w:rsidRDefault="00206200" w:rsidP="00FB3181">
                      <w:pPr>
                        <w:shd w:val="clear" w:color="auto" w:fill="FED36B" w:themeFill="accent2" w:themeFillTint="99"/>
                        <w:jc w:val="center"/>
                        <w:rPr>
                          <w:rFonts w:asciiTheme="majorHAnsi" w:hAnsiTheme="majorHAnsi" w:cs="Browallia New"/>
                          <w:b/>
                          <w:iCs/>
                          <w:sz w:val="18"/>
                          <w:szCs w:val="18"/>
                        </w:rPr>
                      </w:pPr>
                    </w:p>
                  </w:txbxContent>
                </v:textbox>
                <w10:wrap type="square" anchorx="margin" anchory="margin"/>
              </v:roundrect>
            </w:pict>
          </mc:Fallback>
        </mc:AlternateContent>
      </w:r>
      <w:r w:rsidR="0097659F" w:rsidRPr="004F14EC">
        <w:rPr>
          <w:rFonts w:ascii="Browallia New" w:hAnsi="Browallia New" w:cs="Browallia New"/>
          <w:sz w:val="28"/>
          <w:szCs w:val="28"/>
        </w:rPr>
        <w:t>Growth in equity markets, tax reform, rapid pace of innovation, cyber breaches, evolving geo-political shifts in leadership, terrorism, and significant natural disasters</w:t>
      </w:r>
      <w:r w:rsidR="000A1AE4" w:rsidRPr="004F14EC">
        <w:rPr>
          <w:rFonts w:ascii="Browallia New" w:hAnsi="Browallia New" w:cs="Browallia New"/>
          <w:sz w:val="28"/>
          <w:szCs w:val="28"/>
        </w:rPr>
        <w:t xml:space="preserve">, among numerous other issues, </w:t>
      </w:r>
      <w:r w:rsidR="00CC3B47" w:rsidRPr="004F14EC">
        <w:rPr>
          <w:rFonts w:ascii="Browallia New" w:hAnsi="Browallia New" w:cs="Browallia New"/>
          <w:sz w:val="28"/>
          <w:szCs w:val="28"/>
        </w:rPr>
        <w:t>represent</w:t>
      </w:r>
      <w:r w:rsidR="000A1AE4" w:rsidRPr="004F14EC">
        <w:rPr>
          <w:rFonts w:ascii="Browallia New" w:hAnsi="Browallia New" w:cs="Browallia New"/>
          <w:sz w:val="28"/>
          <w:szCs w:val="28"/>
        </w:rPr>
        <w:t xml:space="preserve"> examples of challenge</w:t>
      </w:r>
      <w:r w:rsidR="00CC3B47" w:rsidRPr="004F14EC">
        <w:rPr>
          <w:rFonts w:ascii="Browallia New" w:hAnsi="Browallia New" w:cs="Browallia New"/>
          <w:sz w:val="28"/>
          <w:szCs w:val="28"/>
        </w:rPr>
        <w:t>s</w:t>
      </w:r>
      <w:r w:rsidR="000A1AE4" w:rsidRPr="004F14EC">
        <w:rPr>
          <w:rFonts w:ascii="Browallia New" w:hAnsi="Browallia New" w:cs="Browallia New"/>
          <w:sz w:val="28"/>
          <w:szCs w:val="28"/>
        </w:rPr>
        <w:t xml:space="preserve"> management and boards face in navigating an organization’s risk landscape. </w:t>
      </w:r>
      <w:r w:rsidR="00D820AD" w:rsidRPr="004F14EC">
        <w:rPr>
          <w:rFonts w:ascii="Browallia New" w:hAnsi="Browallia New" w:cs="Browallia New"/>
          <w:sz w:val="28"/>
          <w:szCs w:val="28"/>
        </w:rPr>
        <w:t>These developments are increasing t</w:t>
      </w:r>
      <w:r w:rsidR="00D820AD" w:rsidRPr="004F14EC">
        <w:rPr>
          <w:rFonts w:ascii="Browallia New" w:hAnsi="Browallia New" w:cs="Browallia New"/>
          <w:noProof/>
          <w:sz w:val="28"/>
          <w:szCs w:val="28"/>
        </w:rPr>
        <w:t>he</w:t>
      </w:r>
      <w:r w:rsidR="00D820AD" w:rsidRPr="004F14EC">
        <w:rPr>
          <w:rFonts w:ascii="Browallia New" w:hAnsi="Browallia New" w:cs="Browallia New"/>
          <w:sz w:val="28"/>
          <w:szCs w:val="28"/>
        </w:rPr>
        <w:t xml:space="preserve"> volume and complexity of risks faced by organizations today, creating huge challenges for management and boards in their oversight of the most important risks. </w:t>
      </w:r>
    </w:p>
    <w:p w14:paraId="3DB93445" w14:textId="77777777" w:rsidR="004F14EC" w:rsidRDefault="004F14EC" w:rsidP="004F14EC">
      <w:pPr>
        <w:spacing w:after="0" w:line="204" w:lineRule="auto"/>
        <w:jc w:val="both"/>
        <w:rPr>
          <w:rFonts w:ascii="Browallia New" w:hAnsi="Browallia New" w:cs="Browallia New"/>
          <w:sz w:val="28"/>
          <w:szCs w:val="28"/>
        </w:rPr>
      </w:pPr>
    </w:p>
    <w:p w14:paraId="0517083F" w14:textId="77777777" w:rsidR="00186721" w:rsidRPr="004F14EC" w:rsidRDefault="00EF58EF" w:rsidP="004F14EC">
      <w:pPr>
        <w:spacing w:after="0" w:line="204" w:lineRule="auto"/>
        <w:jc w:val="both"/>
        <w:rPr>
          <w:rFonts w:ascii="Browallia New" w:hAnsi="Browallia New" w:cs="Browallia New"/>
          <w:sz w:val="28"/>
          <w:szCs w:val="28"/>
        </w:rPr>
      </w:pPr>
      <w:r w:rsidRPr="004F14EC">
        <w:rPr>
          <w:rFonts w:ascii="Browallia New" w:hAnsi="Browallia New" w:cs="Browallia New"/>
          <w:sz w:val="28"/>
          <w:szCs w:val="28"/>
        </w:rPr>
        <w:t xml:space="preserve">To get a sense </w:t>
      </w:r>
      <w:proofErr w:type="gramStart"/>
      <w:r w:rsidRPr="004F14EC">
        <w:rPr>
          <w:rFonts w:ascii="Browallia New" w:hAnsi="Browallia New" w:cs="Browallia New"/>
          <w:sz w:val="28"/>
          <w:szCs w:val="28"/>
        </w:rPr>
        <w:t>for</w:t>
      </w:r>
      <w:proofErr w:type="gramEnd"/>
      <w:r w:rsidRPr="004F14EC">
        <w:rPr>
          <w:rFonts w:ascii="Browallia New" w:hAnsi="Browallia New" w:cs="Browallia New"/>
          <w:sz w:val="28"/>
          <w:szCs w:val="28"/>
        </w:rPr>
        <w:t xml:space="preserve"> the extent of risks faced by organizations represented by our respondents, we asked </w:t>
      </w:r>
      <w:r w:rsidR="009C4EC7" w:rsidRPr="004F14EC">
        <w:rPr>
          <w:rFonts w:ascii="Browallia New" w:hAnsi="Browallia New" w:cs="Browallia New"/>
          <w:sz w:val="28"/>
          <w:szCs w:val="28"/>
        </w:rPr>
        <w:t xml:space="preserve">them </w:t>
      </w:r>
      <w:r w:rsidR="00011ECB" w:rsidRPr="004F14EC">
        <w:rPr>
          <w:rFonts w:ascii="Browallia New" w:hAnsi="Browallia New" w:cs="Browallia New"/>
          <w:sz w:val="28"/>
          <w:szCs w:val="28"/>
        </w:rPr>
        <w:t xml:space="preserve">to describe </w:t>
      </w:r>
      <w:r w:rsidR="00253C8E" w:rsidRPr="004F14EC">
        <w:rPr>
          <w:rFonts w:ascii="Browallia New" w:hAnsi="Browallia New" w:cs="Browallia New"/>
          <w:sz w:val="28"/>
          <w:szCs w:val="28"/>
        </w:rPr>
        <w:t xml:space="preserve">how </w:t>
      </w:r>
      <w:r w:rsidRPr="004F14EC">
        <w:rPr>
          <w:rFonts w:ascii="Browallia New" w:hAnsi="Browallia New" w:cs="Browallia New"/>
          <w:sz w:val="28"/>
          <w:szCs w:val="28"/>
        </w:rPr>
        <w:t xml:space="preserve">the volume and complexity of risks </w:t>
      </w:r>
      <w:r w:rsidR="00931FA9" w:rsidRPr="004F14EC">
        <w:rPr>
          <w:rFonts w:ascii="Browallia New" w:hAnsi="Browallia New" w:cs="Browallia New"/>
          <w:sz w:val="28"/>
          <w:szCs w:val="28"/>
        </w:rPr>
        <w:t xml:space="preserve">have increased in the last five years. </w:t>
      </w:r>
      <w:r w:rsidR="00035794" w:rsidRPr="004F14EC">
        <w:rPr>
          <w:rFonts w:ascii="Browallia New" w:hAnsi="Browallia New" w:cs="Browallia New"/>
          <w:sz w:val="28"/>
          <w:szCs w:val="28"/>
        </w:rPr>
        <w:t>Twenty</w:t>
      </w:r>
      <w:r w:rsidR="0097659F" w:rsidRPr="004F14EC">
        <w:rPr>
          <w:rFonts w:ascii="Browallia New" w:hAnsi="Browallia New" w:cs="Browallia New"/>
          <w:sz w:val="28"/>
          <w:szCs w:val="28"/>
        </w:rPr>
        <w:t>-one</w:t>
      </w:r>
      <w:r w:rsidR="00D551E1" w:rsidRPr="004F14EC">
        <w:rPr>
          <w:rFonts w:ascii="Browallia New" w:hAnsi="Browallia New" w:cs="Browallia New"/>
          <w:sz w:val="28"/>
          <w:szCs w:val="28"/>
        </w:rPr>
        <w:t xml:space="preserve"> percent</w:t>
      </w:r>
      <w:r w:rsidR="005713FF" w:rsidRPr="004F14EC">
        <w:rPr>
          <w:rFonts w:ascii="Browallia New" w:hAnsi="Browallia New" w:cs="Browallia New"/>
          <w:sz w:val="28"/>
          <w:szCs w:val="28"/>
        </w:rPr>
        <w:t xml:space="preserve"> </w:t>
      </w:r>
      <w:r w:rsidR="00931FA9" w:rsidRPr="004F14EC">
        <w:rPr>
          <w:rFonts w:ascii="Browallia New" w:hAnsi="Browallia New" w:cs="Browallia New"/>
          <w:sz w:val="28"/>
          <w:szCs w:val="28"/>
        </w:rPr>
        <w:t>noted that the volume and complexity of risks ha</w:t>
      </w:r>
      <w:r w:rsidR="00682BEA" w:rsidRPr="004F14EC">
        <w:rPr>
          <w:rFonts w:ascii="Browallia New" w:hAnsi="Browallia New" w:cs="Browallia New"/>
          <w:sz w:val="28"/>
          <w:szCs w:val="28"/>
        </w:rPr>
        <w:t>ve</w:t>
      </w:r>
      <w:r w:rsidR="005713FF" w:rsidRPr="004F14EC">
        <w:rPr>
          <w:rFonts w:ascii="Browallia New" w:hAnsi="Browallia New" w:cs="Browallia New"/>
          <w:sz w:val="28"/>
          <w:szCs w:val="28"/>
        </w:rPr>
        <w:t xml:space="preserve"> </w:t>
      </w:r>
      <w:r w:rsidR="00931FA9" w:rsidRPr="004F14EC">
        <w:rPr>
          <w:rFonts w:ascii="Browallia New" w:hAnsi="Browallia New" w:cs="Browallia New"/>
          <w:sz w:val="28"/>
          <w:szCs w:val="28"/>
        </w:rPr>
        <w:t>increased “</w:t>
      </w:r>
      <w:r w:rsidR="003A2FED" w:rsidRPr="004F14EC">
        <w:rPr>
          <w:rFonts w:ascii="Browallia New" w:hAnsi="Browallia New" w:cs="Browallia New"/>
          <w:sz w:val="28"/>
          <w:szCs w:val="28"/>
        </w:rPr>
        <w:t>e</w:t>
      </w:r>
      <w:r w:rsidR="00AE7348" w:rsidRPr="004F14EC">
        <w:rPr>
          <w:rFonts w:ascii="Browallia New" w:hAnsi="Browallia New" w:cs="Browallia New"/>
          <w:sz w:val="28"/>
          <w:szCs w:val="28"/>
        </w:rPr>
        <w:t>xtensively</w:t>
      </w:r>
      <w:r w:rsidR="00931FA9" w:rsidRPr="004F14EC">
        <w:rPr>
          <w:rFonts w:ascii="Browallia New" w:hAnsi="Browallia New" w:cs="Browallia New"/>
          <w:sz w:val="28"/>
          <w:szCs w:val="28"/>
        </w:rPr>
        <w:t>” over the past five years</w:t>
      </w:r>
      <w:r w:rsidR="00286DB3" w:rsidRPr="004F14EC">
        <w:rPr>
          <w:rFonts w:ascii="Browallia New" w:hAnsi="Browallia New" w:cs="Browallia New"/>
          <w:sz w:val="28"/>
          <w:szCs w:val="28"/>
        </w:rPr>
        <w:t>, with a</w:t>
      </w:r>
      <w:r w:rsidR="00931FA9" w:rsidRPr="004F14EC">
        <w:rPr>
          <w:rFonts w:ascii="Browallia New" w:hAnsi="Browallia New" w:cs="Browallia New"/>
          <w:sz w:val="28"/>
          <w:szCs w:val="28"/>
        </w:rPr>
        <w:t xml:space="preserve">n additional </w:t>
      </w:r>
      <w:r w:rsidR="005713FF" w:rsidRPr="004F14EC">
        <w:rPr>
          <w:rFonts w:ascii="Browallia New" w:hAnsi="Browallia New" w:cs="Browallia New"/>
          <w:sz w:val="28"/>
          <w:szCs w:val="28"/>
        </w:rPr>
        <w:t>3</w:t>
      </w:r>
      <w:r w:rsidR="0097659F" w:rsidRPr="004F14EC">
        <w:rPr>
          <w:rFonts w:ascii="Browallia New" w:hAnsi="Browallia New" w:cs="Browallia New"/>
          <w:sz w:val="28"/>
          <w:szCs w:val="28"/>
        </w:rPr>
        <w:t>9</w:t>
      </w:r>
      <w:r w:rsidR="00FD40E5" w:rsidRPr="004F14EC">
        <w:rPr>
          <w:rFonts w:ascii="Browallia New" w:hAnsi="Browallia New" w:cs="Browallia New"/>
          <w:sz w:val="28"/>
          <w:szCs w:val="28"/>
        </w:rPr>
        <w:t>%</w:t>
      </w:r>
      <w:r w:rsidR="005713FF" w:rsidRPr="004F14EC">
        <w:rPr>
          <w:rFonts w:ascii="Browallia New" w:hAnsi="Browallia New" w:cs="Browallia New"/>
          <w:sz w:val="28"/>
          <w:szCs w:val="28"/>
        </w:rPr>
        <w:t xml:space="preserve"> </w:t>
      </w:r>
      <w:r w:rsidR="00931FA9" w:rsidRPr="004F14EC">
        <w:rPr>
          <w:rFonts w:ascii="Browallia New" w:hAnsi="Browallia New" w:cs="Browallia New"/>
          <w:sz w:val="28"/>
          <w:szCs w:val="28"/>
        </w:rPr>
        <w:t>respond</w:t>
      </w:r>
      <w:r w:rsidR="00286DB3" w:rsidRPr="004F14EC">
        <w:rPr>
          <w:rFonts w:ascii="Browallia New" w:hAnsi="Browallia New" w:cs="Browallia New"/>
          <w:sz w:val="28"/>
          <w:szCs w:val="28"/>
        </w:rPr>
        <w:t>ing</w:t>
      </w:r>
      <w:r w:rsidR="00931FA9" w:rsidRPr="004F14EC">
        <w:rPr>
          <w:rFonts w:ascii="Browallia New" w:hAnsi="Browallia New" w:cs="Browallia New"/>
          <w:sz w:val="28"/>
          <w:szCs w:val="28"/>
        </w:rPr>
        <w:t xml:space="preserve"> that the volume and complexity of risks ha</w:t>
      </w:r>
      <w:r w:rsidR="00011ECB" w:rsidRPr="004F14EC">
        <w:rPr>
          <w:rFonts w:ascii="Browallia New" w:hAnsi="Browallia New" w:cs="Browallia New"/>
          <w:sz w:val="28"/>
          <w:szCs w:val="28"/>
        </w:rPr>
        <w:t>ve</w:t>
      </w:r>
      <w:r w:rsidR="005713FF" w:rsidRPr="004F14EC">
        <w:rPr>
          <w:rFonts w:ascii="Browallia New" w:hAnsi="Browallia New" w:cs="Browallia New"/>
          <w:sz w:val="28"/>
          <w:szCs w:val="28"/>
        </w:rPr>
        <w:t xml:space="preserve"> </w:t>
      </w:r>
      <w:r w:rsidR="00931FA9" w:rsidRPr="004F14EC">
        <w:rPr>
          <w:rFonts w:ascii="Browallia New" w:hAnsi="Browallia New" w:cs="Browallia New"/>
          <w:sz w:val="28"/>
          <w:szCs w:val="28"/>
        </w:rPr>
        <w:t>increased “</w:t>
      </w:r>
      <w:r w:rsidR="003A2FED" w:rsidRPr="004F14EC">
        <w:rPr>
          <w:rFonts w:ascii="Browallia New" w:hAnsi="Browallia New" w:cs="Browallia New"/>
          <w:sz w:val="28"/>
          <w:szCs w:val="28"/>
        </w:rPr>
        <w:t>m</w:t>
      </w:r>
      <w:r w:rsidR="00AE7348" w:rsidRPr="004F14EC">
        <w:rPr>
          <w:rFonts w:ascii="Browallia New" w:hAnsi="Browallia New" w:cs="Browallia New"/>
          <w:sz w:val="28"/>
          <w:szCs w:val="28"/>
        </w:rPr>
        <w:t>ostly</w:t>
      </w:r>
      <w:r w:rsidR="003A2FED" w:rsidRPr="004F14EC">
        <w:rPr>
          <w:rFonts w:ascii="Browallia New" w:hAnsi="Browallia New" w:cs="Browallia New"/>
          <w:sz w:val="28"/>
          <w:szCs w:val="28"/>
        </w:rPr>
        <w:t>.</w:t>
      </w:r>
      <w:r w:rsidR="00931FA9" w:rsidRPr="004F14EC">
        <w:rPr>
          <w:rFonts w:ascii="Browallia New" w:hAnsi="Browallia New" w:cs="Browallia New"/>
          <w:sz w:val="28"/>
          <w:szCs w:val="28"/>
        </w:rPr>
        <w:t>” Thus, on a combined basis</w:t>
      </w:r>
      <w:r w:rsidR="003A2FED" w:rsidRPr="004F14EC">
        <w:rPr>
          <w:rFonts w:ascii="Browallia New" w:hAnsi="Browallia New" w:cs="Browallia New"/>
          <w:sz w:val="28"/>
          <w:szCs w:val="28"/>
        </w:rPr>
        <w:t>,</w:t>
      </w:r>
      <w:r w:rsidR="005713FF" w:rsidRPr="004F14EC">
        <w:rPr>
          <w:rFonts w:ascii="Browallia New" w:hAnsi="Browallia New" w:cs="Browallia New"/>
          <w:sz w:val="28"/>
          <w:szCs w:val="28"/>
        </w:rPr>
        <w:t xml:space="preserve"> </w:t>
      </w:r>
      <w:r w:rsidR="00F32002" w:rsidRPr="004F14EC">
        <w:rPr>
          <w:rFonts w:ascii="Browallia New" w:hAnsi="Browallia New" w:cs="Browallia New"/>
          <w:sz w:val="28"/>
          <w:szCs w:val="28"/>
        </w:rPr>
        <w:t>60</w:t>
      </w:r>
      <w:r w:rsidR="00C0408F" w:rsidRPr="004F14EC">
        <w:rPr>
          <w:rFonts w:ascii="Browallia New" w:hAnsi="Browallia New" w:cs="Browallia New"/>
          <w:sz w:val="28"/>
          <w:szCs w:val="28"/>
        </w:rPr>
        <w:t>%</w:t>
      </w:r>
      <w:r w:rsidR="005713FF" w:rsidRPr="004F14EC">
        <w:rPr>
          <w:rFonts w:ascii="Browallia New" w:hAnsi="Browallia New" w:cs="Browallia New"/>
          <w:sz w:val="28"/>
          <w:szCs w:val="28"/>
        </w:rPr>
        <w:t xml:space="preserve"> </w:t>
      </w:r>
      <w:r w:rsidR="00931FA9" w:rsidRPr="004F14EC">
        <w:rPr>
          <w:rFonts w:ascii="Browallia New" w:hAnsi="Browallia New" w:cs="Browallia New"/>
          <w:sz w:val="28"/>
          <w:szCs w:val="28"/>
        </w:rPr>
        <w:t xml:space="preserve">of respondents indicate </w:t>
      </w:r>
      <w:r w:rsidR="00011ECB" w:rsidRPr="004F14EC">
        <w:rPr>
          <w:rFonts w:ascii="Browallia New" w:hAnsi="Browallia New" w:cs="Browallia New"/>
          <w:sz w:val="28"/>
          <w:szCs w:val="28"/>
        </w:rPr>
        <w:t xml:space="preserve">that </w:t>
      </w:r>
      <w:r w:rsidR="00931FA9" w:rsidRPr="004F14EC">
        <w:rPr>
          <w:rFonts w:ascii="Browallia New" w:hAnsi="Browallia New" w:cs="Browallia New"/>
          <w:sz w:val="28"/>
          <w:szCs w:val="28"/>
        </w:rPr>
        <w:t>the volume and complexity of risks ha</w:t>
      </w:r>
      <w:r w:rsidR="00011ECB" w:rsidRPr="004F14EC">
        <w:rPr>
          <w:rFonts w:ascii="Browallia New" w:hAnsi="Browallia New" w:cs="Browallia New"/>
          <w:sz w:val="28"/>
          <w:szCs w:val="28"/>
        </w:rPr>
        <w:t>ve</w:t>
      </w:r>
      <w:r w:rsidR="00931FA9" w:rsidRPr="004F14EC">
        <w:rPr>
          <w:rFonts w:ascii="Browallia New" w:hAnsi="Browallia New" w:cs="Browallia New"/>
          <w:sz w:val="28"/>
          <w:szCs w:val="28"/>
        </w:rPr>
        <w:t xml:space="preserve"> changed “</w:t>
      </w:r>
      <w:r w:rsidR="003A2FED" w:rsidRPr="004F14EC">
        <w:rPr>
          <w:rFonts w:ascii="Browallia New" w:hAnsi="Browallia New" w:cs="Browallia New"/>
          <w:sz w:val="28"/>
          <w:szCs w:val="28"/>
        </w:rPr>
        <w:t>m</w:t>
      </w:r>
      <w:r w:rsidR="00AE7348" w:rsidRPr="004F14EC">
        <w:rPr>
          <w:rFonts w:ascii="Browallia New" w:hAnsi="Browallia New" w:cs="Browallia New"/>
          <w:sz w:val="28"/>
          <w:szCs w:val="28"/>
        </w:rPr>
        <w:t>ost</w:t>
      </w:r>
      <w:r w:rsidR="00931FA9" w:rsidRPr="004F14EC">
        <w:rPr>
          <w:rFonts w:ascii="Browallia New" w:hAnsi="Browallia New" w:cs="Browallia New"/>
          <w:sz w:val="28"/>
          <w:szCs w:val="28"/>
        </w:rPr>
        <w:t>ly” or “</w:t>
      </w:r>
      <w:r w:rsidR="003A2FED" w:rsidRPr="004F14EC">
        <w:rPr>
          <w:rFonts w:ascii="Browallia New" w:hAnsi="Browallia New" w:cs="Browallia New"/>
          <w:sz w:val="28"/>
          <w:szCs w:val="28"/>
        </w:rPr>
        <w:t>e</w:t>
      </w:r>
      <w:r w:rsidR="00AE7348" w:rsidRPr="004F14EC">
        <w:rPr>
          <w:rFonts w:ascii="Browallia New" w:hAnsi="Browallia New" w:cs="Browallia New"/>
          <w:sz w:val="28"/>
          <w:szCs w:val="28"/>
        </w:rPr>
        <w:t>xtensively</w:t>
      </w:r>
      <w:r w:rsidR="00931FA9" w:rsidRPr="004F14EC">
        <w:rPr>
          <w:rFonts w:ascii="Browallia New" w:hAnsi="Browallia New" w:cs="Browallia New"/>
          <w:sz w:val="28"/>
          <w:szCs w:val="28"/>
        </w:rPr>
        <w:t>”</w:t>
      </w:r>
      <w:r w:rsidR="00011ECB" w:rsidRPr="004F14EC">
        <w:rPr>
          <w:rFonts w:ascii="Browallia New" w:hAnsi="Browallia New" w:cs="Browallia New"/>
          <w:sz w:val="28"/>
          <w:szCs w:val="28"/>
        </w:rPr>
        <w:t xml:space="preserve"> in the last five years</w:t>
      </w:r>
      <w:r w:rsidR="00AD0059" w:rsidRPr="004F14EC">
        <w:rPr>
          <w:rFonts w:ascii="Browallia New" w:hAnsi="Browallia New" w:cs="Browallia New"/>
          <w:sz w:val="28"/>
          <w:szCs w:val="28"/>
        </w:rPr>
        <w:t xml:space="preserve">, which is </w:t>
      </w:r>
      <w:r w:rsidR="00286DB3" w:rsidRPr="004F14EC">
        <w:rPr>
          <w:rFonts w:ascii="Browallia New" w:hAnsi="Browallia New" w:cs="Browallia New"/>
          <w:sz w:val="28"/>
          <w:szCs w:val="28"/>
        </w:rPr>
        <w:t xml:space="preserve">in line with what </w:t>
      </w:r>
      <w:r w:rsidR="00EF5C25" w:rsidRPr="004F14EC">
        <w:rPr>
          <w:rFonts w:ascii="Browallia New" w:hAnsi="Browallia New" w:cs="Browallia New"/>
          <w:sz w:val="28"/>
          <w:szCs w:val="28"/>
        </w:rPr>
        <w:t xml:space="preserve">participants </w:t>
      </w:r>
      <w:r w:rsidR="00874018" w:rsidRPr="004F14EC">
        <w:rPr>
          <w:rFonts w:ascii="Browallia New" w:hAnsi="Browallia New" w:cs="Browallia New"/>
          <w:sz w:val="28"/>
          <w:szCs w:val="28"/>
        </w:rPr>
        <w:t>noted in the most recent</w:t>
      </w:r>
      <w:r w:rsidR="00EF5C25" w:rsidRPr="004F14EC">
        <w:rPr>
          <w:rFonts w:ascii="Browallia New" w:hAnsi="Browallia New" w:cs="Browallia New"/>
          <w:sz w:val="28"/>
          <w:szCs w:val="28"/>
        </w:rPr>
        <w:t xml:space="preserve"> prior years</w:t>
      </w:r>
      <w:r w:rsidR="00011ECB" w:rsidRPr="004F14EC">
        <w:rPr>
          <w:rFonts w:ascii="Browallia New" w:hAnsi="Browallia New" w:cs="Browallia New"/>
          <w:sz w:val="28"/>
          <w:szCs w:val="28"/>
        </w:rPr>
        <w:t>.</w:t>
      </w:r>
      <w:r w:rsidR="005713FF" w:rsidRPr="004F14EC">
        <w:rPr>
          <w:rFonts w:ascii="Browallia New" w:hAnsi="Browallia New" w:cs="Browallia New"/>
          <w:sz w:val="28"/>
          <w:szCs w:val="28"/>
        </w:rPr>
        <w:t xml:space="preserve"> </w:t>
      </w:r>
      <w:r w:rsidR="00F32002" w:rsidRPr="004F14EC">
        <w:rPr>
          <w:rFonts w:ascii="Browallia New" w:hAnsi="Browallia New" w:cs="Browallia New"/>
          <w:sz w:val="28"/>
          <w:szCs w:val="28"/>
        </w:rPr>
        <w:t>Less than</w:t>
      </w:r>
      <w:r w:rsidR="005713FF" w:rsidRPr="004F14EC">
        <w:rPr>
          <w:rFonts w:ascii="Browallia New" w:hAnsi="Browallia New" w:cs="Browallia New"/>
          <w:sz w:val="28"/>
          <w:szCs w:val="28"/>
        </w:rPr>
        <w:t xml:space="preserve"> </w:t>
      </w:r>
      <w:r w:rsidR="00035794" w:rsidRPr="004F14EC">
        <w:rPr>
          <w:rFonts w:ascii="Browallia New" w:hAnsi="Browallia New" w:cs="Browallia New"/>
          <w:sz w:val="28"/>
          <w:szCs w:val="28"/>
        </w:rPr>
        <w:t>2</w:t>
      </w:r>
      <w:r w:rsidR="00503B32" w:rsidRPr="004F14EC">
        <w:rPr>
          <w:rFonts w:ascii="Browallia New" w:hAnsi="Browallia New" w:cs="Browallia New"/>
          <w:sz w:val="28"/>
          <w:szCs w:val="28"/>
        </w:rPr>
        <w:t>%</w:t>
      </w:r>
      <w:r w:rsidR="005713FF" w:rsidRPr="004F14EC">
        <w:rPr>
          <w:rFonts w:ascii="Browallia New" w:hAnsi="Browallia New" w:cs="Browallia New"/>
          <w:sz w:val="28"/>
          <w:szCs w:val="28"/>
        </w:rPr>
        <w:t xml:space="preserve"> </w:t>
      </w:r>
      <w:r w:rsidR="00931FA9" w:rsidRPr="004F14EC">
        <w:rPr>
          <w:rFonts w:ascii="Browallia New" w:hAnsi="Browallia New" w:cs="Browallia New"/>
          <w:sz w:val="28"/>
          <w:szCs w:val="28"/>
        </w:rPr>
        <w:t>responded that the volume and complexity of risks ha</w:t>
      </w:r>
      <w:r w:rsidR="00011ECB" w:rsidRPr="004F14EC">
        <w:rPr>
          <w:rFonts w:ascii="Browallia New" w:hAnsi="Browallia New" w:cs="Browallia New"/>
          <w:sz w:val="28"/>
          <w:szCs w:val="28"/>
        </w:rPr>
        <w:t>ve</w:t>
      </w:r>
      <w:r w:rsidR="00931FA9" w:rsidRPr="004F14EC">
        <w:rPr>
          <w:rFonts w:ascii="Browallia New" w:hAnsi="Browallia New" w:cs="Browallia New"/>
          <w:sz w:val="28"/>
          <w:szCs w:val="28"/>
        </w:rPr>
        <w:t xml:space="preserve"> not changed at all.</w:t>
      </w:r>
      <w:r w:rsidR="000A1AE4" w:rsidRPr="004F14EC">
        <w:rPr>
          <w:rFonts w:ascii="Browallia New" w:hAnsi="Browallia New" w:cs="Browallia New"/>
          <w:sz w:val="28"/>
          <w:szCs w:val="28"/>
        </w:rPr>
        <w:t xml:space="preserve"> </w:t>
      </w:r>
      <w:r w:rsidR="00D03A10">
        <w:rPr>
          <w:rFonts w:ascii="Browallia New" w:hAnsi="Browallia New" w:cs="Browallia New"/>
          <w:sz w:val="28"/>
          <w:szCs w:val="28"/>
        </w:rPr>
        <w:t>While the higher percentages in 2009-2010 were likely due to concerns related to the “Great Recession”, the higher percentages in 2016-2017 may be due to increased concerns related to geopolitical shifts, cyber threats, terrorism, and the rapid deployment of new technology-based innovations, among other risk drivers.</w:t>
      </w:r>
    </w:p>
    <w:p w14:paraId="5FA40FCF" w14:textId="77777777" w:rsidR="00D03A10" w:rsidRDefault="00D03A10">
      <w:pPr>
        <w:rPr>
          <w:rFonts w:ascii="Browallia New" w:hAnsi="Browallia New" w:cs="Browallia New"/>
        </w:rPr>
      </w:pPr>
      <w:r w:rsidRPr="004F14EC">
        <w:rPr>
          <w:rFonts w:ascii="Browallia New" w:hAnsi="Browallia New" w:cs="Browallia New"/>
          <w:noProof/>
          <w:sz w:val="28"/>
          <w:szCs w:val="28"/>
        </w:rPr>
        <w:drawing>
          <wp:anchor distT="0" distB="0" distL="114300" distR="114300" simplePos="0" relativeHeight="251743232" behindDoc="0" locked="0" layoutInCell="1" allowOverlap="1" wp14:anchorId="303CB367" wp14:editId="0E6CB20F">
            <wp:simplePos x="0" y="0"/>
            <wp:positionH relativeFrom="margin">
              <wp:posOffset>499110</wp:posOffset>
            </wp:positionH>
            <wp:positionV relativeFrom="paragraph">
              <wp:posOffset>184513</wp:posOffset>
            </wp:positionV>
            <wp:extent cx="4899660" cy="3251835"/>
            <wp:effectExtent l="0" t="0" r="0" b="5715"/>
            <wp:wrapTopAndBottom/>
            <wp:docPr id="1" name="Chart 1" descr="Bar chart of organizations with volume and complexities of risks increasing mostly or extensively from 2009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rFonts w:ascii="Browallia New" w:hAnsi="Browallia New" w:cs="Browallia New"/>
        </w:rPr>
        <w:br w:type="page"/>
      </w:r>
    </w:p>
    <w:p w14:paraId="6D0A2E90" w14:textId="40C658D6" w:rsidR="00181B6D" w:rsidRPr="00181B6D" w:rsidRDefault="00181B6D">
      <w:pPr>
        <w:rPr>
          <w:rStyle w:val="IntenseReference"/>
          <w:color w:val="1C4853" w:themeColor="accent1" w:themeShade="80"/>
        </w:rPr>
      </w:pPr>
      <w:r w:rsidRPr="00181B6D">
        <w:rPr>
          <w:rStyle w:val="IntenseReference"/>
          <w:color w:val="1C4853" w:themeColor="accent1" w:themeShade="80"/>
        </w:rPr>
        <w:lastRenderedPageBreak/>
        <w:t>Percentage of Respondents</w:t>
      </w:r>
    </w:p>
    <w:tbl>
      <w:tblPr>
        <w:tblStyle w:val="ListTable3-Accent31"/>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170"/>
        <w:gridCol w:w="1260"/>
        <w:gridCol w:w="1350"/>
        <w:gridCol w:w="1170"/>
        <w:gridCol w:w="1098"/>
      </w:tblGrid>
      <w:tr w:rsidR="00F32002" w:rsidRPr="00F32002" w14:paraId="0D435270" w14:textId="77777777" w:rsidTr="00181B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28" w:type="dxa"/>
            <w:tcBorders>
              <w:bottom w:val="none" w:sz="0" w:space="0" w:color="auto"/>
              <w:right w:val="none" w:sz="0" w:space="0" w:color="auto"/>
            </w:tcBorders>
            <w:shd w:val="clear" w:color="auto" w:fill="BFBFBF" w:themeFill="background1" w:themeFillShade="BF"/>
          </w:tcPr>
          <w:p w14:paraId="59428499" w14:textId="77777777" w:rsidR="00682BEA" w:rsidRPr="003B1178" w:rsidRDefault="00682BEA" w:rsidP="00682BEA">
            <w:pPr>
              <w:jc w:val="center"/>
              <w:rPr>
                <w:rFonts w:ascii="Browallia New" w:hAnsi="Browallia New" w:cs="Browallia New"/>
                <w:color w:val="auto"/>
                <w:sz w:val="24"/>
                <w:szCs w:val="24"/>
                <w:u w:val="single"/>
              </w:rPr>
            </w:pPr>
            <w:r w:rsidRPr="003B1178">
              <w:rPr>
                <w:rFonts w:ascii="Browallia New" w:hAnsi="Browallia New" w:cs="Browallia New"/>
                <w:color w:val="auto"/>
                <w:sz w:val="24"/>
                <w:szCs w:val="24"/>
                <w:u w:val="single"/>
              </w:rPr>
              <w:t>Question</w:t>
            </w:r>
          </w:p>
        </w:tc>
        <w:tc>
          <w:tcPr>
            <w:tcW w:w="1170" w:type="dxa"/>
            <w:shd w:val="clear" w:color="auto" w:fill="BFBFBF" w:themeFill="background1" w:themeFillShade="BF"/>
          </w:tcPr>
          <w:p w14:paraId="67E5B8CC" w14:textId="77777777" w:rsidR="00682BEA" w:rsidRPr="003B1178" w:rsidRDefault="00682BEA" w:rsidP="00682BEA">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u w:val="single"/>
              </w:rPr>
              <w:t>Not at All</w:t>
            </w:r>
          </w:p>
        </w:tc>
        <w:tc>
          <w:tcPr>
            <w:tcW w:w="1260" w:type="dxa"/>
            <w:shd w:val="clear" w:color="auto" w:fill="BFBFBF" w:themeFill="background1" w:themeFillShade="BF"/>
          </w:tcPr>
          <w:p w14:paraId="72EF6B6F" w14:textId="77777777" w:rsidR="00682BEA" w:rsidRPr="003B1178" w:rsidRDefault="00682BEA" w:rsidP="00682BEA">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u w:val="single"/>
              </w:rPr>
              <w:t>Minimally</w:t>
            </w:r>
          </w:p>
        </w:tc>
        <w:tc>
          <w:tcPr>
            <w:tcW w:w="1350" w:type="dxa"/>
            <w:shd w:val="clear" w:color="auto" w:fill="BFBFBF" w:themeFill="background1" w:themeFillShade="BF"/>
          </w:tcPr>
          <w:p w14:paraId="65F96ECB" w14:textId="77777777" w:rsidR="00682BEA" w:rsidRPr="003B1178" w:rsidRDefault="00682BEA" w:rsidP="00682BEA">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u w:val="single"/>
              </w:rPr>
              <w:t>Somewhat</w:t>
            </w:r>
          </w:p>
        </w:tc>
        <w:tc>
          <w:tcPr>
            <w:tcW w:w="1170" w:type="dxa"/>
            <w:shd w:val="clear" w:color="auto" w:fill="BFBFBF" w:themeFill="background1" w:themeFillShade="BF"/>
          </w:tcPr>
          <w:p w14:paraId="2D1C4A1F" w14:textId="77777777" w:rsidR="00682BEA" w:rsidRPr="003B1178" w:rsidRDefault="00682BEA" w:rsidP="00682BEA">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u w:val="single"/>
              </w:rPr>
              <w:t>Mostly</w:t>
            </w:r>
          </w:p>
        </w:tc>
        <w:tc>
          <w:tcPr>
            <w:tcW w:w="1098" w:type="dxa"/>
            <w:shd w:val="clear" w:color="auto" w:fill="BFBFBF" w:themeFill="background1" w:themeFillShade="BF"/>
          </w:tcPr>
          <w:p w14:paraId="31546213" w14:textId="77777777" w:rsidR="00682BEA" w:rsidRPr="003B1178" w:rsidRDefault="00682BEA" w:rsidP="00682BEA">
            <w:pPr>
              <w:ind w:left="-202" w:hanging="90"/>
              <w:jc w:val="right"/>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u w:val="single"/>
              </w:rPr>
              <w:t>Extensively</w:t>
            </w:r>
          </w:p>
        </w:tc>
      </w:tr>
      <w:tr w:rsidR="00F32002" w:rsidRPr="00F32002" w14:paraId="4ACB7139"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bottom w:val="none" w:sz="0" w:space="0" w:color="auto"/>
              <w:right w:val="none" w:sz="0" w:space="0" w:color="auto"/>
            </w:tcBorders>
          </w:tcPr>
          <w:p w14:paraId="6ABE5CDD" w14:textId="77777777" w:rsidR="00682BEA" w:rsidRPr="003B1178" w:rsidRDefault="00682BEA" w:rsidP="00606007">
            <w:pPr>
              <w:spacing w:line="180" w:lineRule="auto"/>
              <w:rPr>
                <w:rFonts w:ascii="Browallia New" w:hAnsi="Browallia New" w:cs="Browallia New"/>
                <w:sz w:val="24"/>
                <w:szCs w:val="24"/>
              </w:rPr>
            </w:pPr>
            <w:r w:rsidRPr="003B1178">
              <w:rPr>
                <w:rFonts w:ascii="Browallia New" w:hAnsi="Browallia New" w:cs="Browallia New"/>
                <w:sz w:val="24"/>
                <w:szCs w:val="24"/>
              </w:rPr>
              <w:t>To what extent has the volume and complexity of risks increased over the past five years?</w:t>
            </w:r>
          </w:p>
        </w:tc>
        <w:tc>
          <w:tcPr>
            <w:tcW w:w="1170" w:type="dxa"/>
            <w:tcBorders>
              <w:top w:val="none" w:sz="0" w:space="0" w:color="auto"/>
              <w:bottom w:val="none" w:sz="0" w:space="0" w:color="auto"/>
            </w:tcBorders>
            <w:shd w:val="clear" w:color="auto" w:fill="FFFFFF" w:themeFill="background1"/>
          </w:tcPr>
          <w:p w14:paraId="23FD83BF" w14:textId="77777777" w:rsidR="00682BEA" w:rsidRPr="003B1178" w:rsidRDefault="00FB6520" w:rsidP="00AB293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1%</w:t>
            </w:r>
          </w:p>
        </w:tc>
        <w:tc>
          <w:tcPr>
            <w:tcW w:w="1260" w:type="dxa"/>
            <w:tcBorders>
              <w:top w:val="none" w:sz="0" w:space="0" w:color="auto"/>
              <w:bottom w:val="none" w:sz="0" w:space="0" w:color="auto"/>
            </w:tcBorders>
            <w:shd w:val="clear" w:color="auto" w:fill="FFFFFF" w:themeFill="background1"/>
          </w:tcPr>
          <w:p w14:paraId="4FB3FAB8" w14:textId="77777777" w:rsidR="00682BEA" w:rsidRPr="003B1178" w:rsidRDefault="00FB6520" w:rsidP="00AB293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6%</w:t>
            </w:r>
          </w:p>
        </w:tc>
        <w:tc>
          <w:tcPr>
            <w:tcW w:w="1350" w:type="dxa"/>
            <w:tcBorders>
              <w:top w:val="none" w:sz="0" w:space="0" w:color="auto"/>
              <w:bottom w:val="none" w:sz="0" w:space="0" w:color="auto"/>
            </w:tcBorders>
            <w:shd w:val="clear" w:color="auto" w:fill="FFFFFF" w:themeFill="background1"/>
          </w:tcPr>
          <w:p w14:paraId="46A657DC" w14:textId="77777777" w:rsidR="00682BEA" w:rsidRPr="003B1178" w:rsidRDefault="00FB6520" w:rsidP="00AB293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32%</w:t>
            </w:r>
          </w:p>
        </w:tc>
        <w:tc>
          <w:tcPr>
            <w:tcW w:w="1170" w:type="dxa"/>
            <w:tcBorders>
              <w:top w:val="none" w:sz="0" w:space="0" w:color="auto"/>
              <w:bottom w:val="none" w:sz="0" w:space="0" w:color="auto"/>
            </w:tcBorders>
            <w:shd w:val="clear" w:color="auto" w:fill="FFFFFF" w:themeFill="background1"/>
          </w:tcPr>
          <w:p w14:paraId="768565CA" w14:textId="77777777" w:rsidR="00682BEA" w:rsidRPr="003B1178" w:rsidRDefault="00FB6520" w:rsidP="00606D56">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39%</w:t>
            </w:r>
          </w:p>
        </w:tc>
        <w:tc>
          <w:tcPr>
            <w:tcW w:w="1098" w:type="dxa"/>
            <w:tcBorders>
              <w:top w:val="none" w:sz="0" w:space="0" w:color="auto"/>
              <w:bottom w:val="none" w:sz="0" w:space="0" w:color="auto"/>
            </w:tcBorders>
            <w:shd w:val="clear" w:color="auto" w:fill="FFFFFF" w:themeFill="background1"/>
          </w:tcPr>
          <w:p w14:paraId="769EF289" w14:textId="77777777" w:rsidR="00682BEA" w:rsidRPr="003B1178" w:rsidRDefault="00FB6520" w:rsidP="00AB293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21%</w:t>
            </w:r>
          </w:p>
        </w:tc>
      </w:tr>
    </w:tbl>
    <w:p w14:paraId="79C3707E" w14:textId="77777777" w:rsidR="00BD10B9" w:rsidRPr="004F14EC" w:rsidRDefault="00BD10B9" w:rsidP="00D03A10">
      <w:pPr>
        <w:spacing w:before="120" w:line="204" w:lineRule="auto"/>
        <w:jc w:val="both"/>
        <w:rPr>
          <w:rFonts w:ascii="Browallia New" w:hAnsi="Browallia New" w:cs="Browallia New"/>
          <w:sz w:val="28"/>
          <w:szCs w:val="28"/>
        </w:rPr>
      </w:pPr>
      <w:r w:rsidRPr="004F14EC">
        <w:rPr>
          <w:rFonts w:ascii="Browallia New" w:hAnsi="Browallia New" w:cs="Browallia New"/>
          <w:sz w:val="28"/>
          <w:szCs w:val="28"/>
        </w:rPr>
        <w:t xml:space="preserve">We separately analyzed responses to this question for various subgroups of respondents. </w:t>
      </w:r>
      <w:r w:rsidR="003C1677" w:rsidRPr="004F14EC">
        <w:rPr>
          <w:rFonts w:ascii="Browallia New" w:hAnsi="Browallia New" w:cs="Browallia New"/>
          <w:sz w:val="28"/>
          <w:szCs w:val="28"/>
        </w:rPr>
        <w:t>As shown below, the percentage of respondent</w:t>
      </w:r>
      <w:r w:rsidR="00F46129" w:rsidRPr="004F14EC">
        <w:rPr>
          <w:rFonts w:ascii="Browallia New" w:hAnsi="Browallia New" w:cs="Browallia New"/>
          <w:sz w:val="28"/>
          <w:szCs w:val="28"/>
        </w:rPr>
        <w:t>s</w:t>
      </w:r>
      <w:r w:rsidR="003C1677" w:rsidRPr="004F14EC">
        <w:rPr>
          <w:rFonts w:ascii="Browallia New" w:hAnsi="Browallia New" w:cs="Browallia New"/>
          <w:sz w:val="28"/>
          <w:szCs w:val="28"/>
        </w:rPr>
        <w:t xml:space="preserve"> indicating an increase in the volume and complexity of risks is even higher for large organizations</w:t>
      </w:r>
      <w:r w:rsidR="00207652">
        <w:rPr>
          <w:rFonts w:ascii="Browallia New" w:hAnsi="Browallia New" w:cs="Browallia New"/>
          <w:sz w:val="28"/>
          <w:szCs w:val="28"/>
        </w:rPr>
        <w:t xml:space="preserve"> and</w:t>
      </w:r>
      <w:r w:rsidR="003C1677" w:rsidRPr="004F14EC">
        <w:rPr>
          <w:rFonts w:ascii="Browallia New" w:hAnsi="Browallia New" w:cs="Browallia New"/>
          <w:sz w:val="28"/>
          <w:szCs w:val="28"/>
        </w:rPr>
        <w:t xml:space="preserve"> public comp</w:t>
      </w:r>
      <w:r w:rsidR="004F14EC">
        <w:rPr>
          <w:rFonts w:ascii="Browallia New" w:hAnsi="Browallia New" w:cs="Browallia New"/>
          <w:sz w:val="28"/>
          <w:szCs w:val="28"/>
        </w:rPr>
        <w:t xml:space="preserve">anies. </w:t>
      </w:r>
      <w:r w:rsidR="00207652">
        <w:rPr>
          <w:rFonts w:ascii="Browallia New" w:hAnsi="Browallia New" w:cs="Browallia New"/>
          <w:sz w:val="28"/>
          <w:szCs w:val="28"/>
        </w:rPr>
        <w:t xml:space="preserve">Not-for-profit organizations are not immune to this either. </w:t>
      </w:r>
      <w:r w:rsidR="00474418">
        <w:rPr>
          <w:rFonts w:ascii="Browallia New" w:hAnsi="Browallia New" w:cs="Browallia New"/>
          <w:sz w:val="28"/>
          <w:szCs w:val="28"/>
        </w:rPr>
        <w:t>While the percentages shown in the chart below were closer to 70%</w:t>
      </w:r>
      <w:r w:rsidR="00200C07">
        <w:rPr>
          <w:rFonts w:ascii="Browallia New" w:hAnsi="Browallia New" w:cs="Browallia New"/>
          <w:sz w:val="28"/>
          <w:szCs w:val="28"/>
        </w:rPr>
        <w:t xml:space="preserve"> last year for the larger organizations and those in financial services, the current </w:t>
      </w:r>
      <w:proofErr w:type="gramStart"/>
      <w:r w:rsidR="00200C07">
        <w:rPr>
          <w:rFonts w:ascii="Browallia New" w:hAnsi="Browallia New" w:cs="Browallia New"/>
          <w:sz w:val="28"/>
          <w:szCs w:val="28"/>
        </w:rPr>
        <w:t>year</w:t>
      </w:r>
      <w:proofErr w:type="gramEnd"/>
      <w:r w:rsidR="00200C07">
        <w:rPr>
          <w:rFonts w:ascii="Browallia New" w:hAnsi="Browallia New" w:cs="Browallia New"/>
          <w:sz w:val="28"/>
          <w:szCs w:val="28"/>
        </w:rPr>
        <w:t xml:space="preserve"> </w:t>
      </w:r>
      <w:r w:rsidR="00207652">
        <w:rPr>
          <w:rFonts w:ascii="Browallia New" w:hAnsi="Browallia New" w:cs="Browallia New"/>
          <w:sz w:val="28"/>
          <w:szCs w:val="28"/>
        </w:rPr>
        <w:t>findings</w:t>
      </w:r>
      <w:r w:rsidR="00D90329">
        <w:rPr>
          <w:rFonts w:ascii="Browallia New" w:hAnsi="Browallia New" w:cs="Browallia New"/>
          <w:sz w:val="28"/>
          <w:szCs w:val="28"/>
        </w:rPr>
        <w:t>, while somewhat lower,</w:t>
      </w:r>
      <w:r w:rsidR="00207652">
        <w:rPr>
          <w:rFonts w:ascii="Browallia New" w:hAnsi="Browallia New" w:cs="Browallia New"/>
          <w:sz w:val="28"/>
          <w:szCs w:val="28"/>
        </w:rPr>
        <w:t xml:space="preserve"> </w:t>
      </w:r>
      <w:r w:rsidR="00200C07">
        <w:rPr>
          <w:rFonts w:ascii="Browallia New" w:hAnsi="Browallia New" w:cs="Browallia New"/>
          <w:sz w:val="28"/>
          <w:szCs w:val="28"/>
        </w:rPr>
        <w:t xml:space="preserve">continue to </w:t>
      </w:r>
      <w:r w:rsidR="003C1677" w:rsidRPr="004F14EC">
        <w:rPr>
          <w:rFonts w:ascii="Browallia New" w:hAnsi="Browallia New" w:cs="Browallia New"/>
          <w:sz w:val="28"/>
          <w:szCs w:val="28"/>
        </w:rPr>
        <w:t xml:space="preserve">indicate that the overall business environment is perceived as </w:t>
      </w:r>
      <w:r w:rsidR="00F46129" w:rsidRPr="004F14EC">
        <w:rPr>
          <w:rFonts w:ascii="Browallia New" w:hAnsi="Browallia New" w:cs="Browallia New"/>
          <w:sz w:val="28"/>
          <w:szCs w:val="28"/>
        </w:rPr>
        <w:t>relatively risky</w:t>
      </w:r>
      <w:r w:rsidR="003C1677" w:rsidRPr="004F14EC">
        <w:rPr>
          <w:rFonts w:ascii="Browallia New" w:hAnsi="Browallia New" w:cs="Browallia New"/>
          <w:sz w:val="28"/>
          <w:szCs w:val="28"/>
        </w:rPr>
        <w:t xml:space="preserve"> across all types of entities.</w:t>
      </w:r>
    </w:p>
    <w:p w14:paraId="59BF9B57" w14:textId="77777777" w:rsidR="00BD10B9" w:rsidRPr="00F46D57" w:rsidRDefault="00BD10B9" w:rsidP="00E24AB1">
      <w:pPr>
        <w:jc w:val="center"/>
        <w:rPr>
          <w:rFonts w:ascii="Browallia New" w:hAnsi="Browallia New" w:cs="Browallia New"/>
        </w:rPr>
      </w:pPr>
      <w:r w:rsidRPr="00F46D57">
        <w:rPr>
          <w:rFonts w:ascii="Browallia New" w:hAnsi="Browallia New" w:cs="Browallia New"/>
          <w:noProof/>
        </w:rPr>
        <w:drawing>
          <wp:inline distT="0" distB="0" distL="0" distR="0" wp14:anchorId="6267B824" wp14:editId="4AFF15C7">
            <wp:extent cx="5562056" cy="3173095"/>
            <wp:effectExtent l="0" t="0" r="635" b="8255"/>
            <wp:docPr id="23" name="Chart 23" descr="Bar chart of organizations with volume and complexities of risks increasing mostly or extensively in the past five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B74554" w14:textId="77777777" w:rsidR="00105BC2" w:rsidRDefault="004926B5" w:rsidP="004F14EC">
      <w:pPr>
        <w:spacing w:line="204" w:lineRule="auto"/>
        <w:jc w:val="both"/>
        <w:rPr>
          <w:rFonts w:ascii="Browallia New" w:hAnsi="Browallia New" w:cs="Browallia New"/>
          <w:sz w:val="28"/>
          <w:szCs w:val="28"/>
        </w:rPr>
      </w:pPr>
      <w:r w:rsidRPr="004F14EC">
        <w:rPr>
          <w:rFonts w:ascii="Browallia New" w:hAnsi="Browallia New" w:cs="Browallia New"/>
          <w:sz w:val="28"/>
          <w:szCs w:val="28"/>
        </w:rPr>
        <w:t>So</w:t>
      </w:r>
      <w:r w:rsidR="004422AD" w:rsidRPr="004F14EC">
        <w:rPr>
          <w:rFonts w:ascii="Browallia New" w:hAnsi="Browallia New" w:cs="Browallia New"/>
          <w:sz w:val="28"/>
          <w:szCs w:val="28"/>
        </w:rPr>
        <w:t xml:space="preserve">me risks have </w:t>
      </w:r>
      <w:proofErr w:type="gramStart"/>
      <w:r w:rsidR="004422AD" w:rsidRPr="004F14EC">
        <w:rPr>
          <w:rFonts w:ascii="Browallia New" w:hAnsi="Browallia New" w:cs="Browallia New"/>
          <w:sz w:val="28"/>
          <w:szCs w:val="28"/>
        </w:rPr>
        <w:t>actually translated</w:t>
      </w:r>
      <w:proofErr w:type="gramEnd"/>
      <w:r w:rsidR="004422AD" w:rsidRPr="004F14EC">
        <w:rPr>
          <w:rFonts w:ascii="Browallia New" w:hAnsi="Browallia New" w:cs="Browallia New"/>
          <w:sz w:val="28"/>
          <w:szCs w:val="28"/>
        </w:rPr>
        <w:t xml:space="preserve"> into significant operational surprises for the organization</w:t>
      </w:r>
      <w:r w:rsidR="009014AC" w:rsidRPr="004F14EC">
        <w:rPr>
          <w:rFonts w:ascii="Browallia New" w:hAnsi="Browallia New" w:cs="Browallia New"/>
          <w:sz w:val="28"/>
          <w:szCs w:val="28"/>
        </w:rPr>
        <w:t>s represented in our survey</w:t>
      </w:r>
      <w:r w:rsidR="0087477A" w:rsidRPr="004F14EC">
        <w:rPr>
          <w:rFonts w:ascii="Browallia New" w:hAnsi="Browallia New" w:cs="Browallia New"/>
          <w:sz w:val="28"/>
          <w:szCs w:val="28"/>
        </w:rPr>
        <w:t xml:space="preserve">. </w:t>
      </w:r>
      <w:r w:rsidR="009C611C" w:rsidRPr="004F14EC">
        <w:rPr>
          <w:rFonts w:ascii="Browallia New" w:hAnsi="Browallia New" w:cs="Browallia New"/>
          <w:sz w:val="28"/>
          <w:szCs w:val="28"/>
        </w:rPr>
        <w:t xml:space="preserve">About </w:t>
      </w:r>
      <w:r w:rsidR="00F32002" w:rsidRPr="004F14EC">
        <w:rPr>
          <w:rFonts w:ascii="Browallia New" w:hAnsi="Browallia New" w:cs="Browallia New"/>
          <w:sz w:val="28"/>
          <w:szCs w:val="28"/>
        </w:rPr>
        <w:t>8</w:t>
      </w:r>
      <w:r w:rsidR="00503B32" w:rsidRPr="004F14EC">
        <w:rPr>
          <w:rFonts w:ascii="Browallia New" w:hAnsi="Browallia New" w:cs="Browallia New"/>
          <w:sz w:val="28"/>
          <w:szCs w:val="28"/>
        </w:rPr>
        <w:t>%</w:t>
      </w:r>
      <w:r w:rsidR="005713FF" w:rsidRPr="004F14EC">
        <w:rPr>
          <w:rFonts w:ascii="Browallia New" w:hAnsi="Browallia New" w:cs="Browallia New"/>
          <w:sz w:val="28"/>
          <w:szCs w:val="28"/>
        </w:rPr>
        <w:t xml:space="preserve"> </w:t>
      </w:r>
      <w:r w:rsidR="004422AD" w:rsidRPr="004F14EC">
        <w:rPr>
          <w:rFonts w:ascii="Browallia New" w:hAnsi="Browallia New" w:cs="Browallia New"/>
          <w:sz w:val="28"/>
          <w:szCs w:val="28"/>
        </w:rPr>
        <w:t xml:space="preserve">noted that they have been </w:t>
      </w:r>
      <w:r w:rsidR="002A7083" w:rsidRPr="004F14EC">
        <w:rPr>
          <w:rFonts w:ascii="Browallia New" w:hAnsi="Browallia New" w:cs="Browallia New"/>
          <w:sz w:val="28"/>
          <w:szCs w:val="28"/>
        </w:rPr>
        <w:t xml:space="preserve">affected </w:t>
      </w:r>
      <w:r w:rsidR="004422AD" w:rsidRPr="004F14EC">
        <w:rPr>
          <w:rFonts w:ascii="Browallia New" w:hAnsi="Browallia New" w:cs="Browallia New"/>
          <w:sz w:val="28"/>
          <w:szCs w:val="28"/>
        </w:rPr>
        <w:t>by an operational surprise</w:t>
      </w:r>
      <w:r w:rsidR="005713FF" w:rsidRPr="004F14EC">
        <w:rPr>
          <w:rFonts w:ascii="Browallia New" w:hAnsi="Browallia New" w:cs="Browallia New"/>
          <w:sz w:val="28"/>
          <w:szCs w:val="28"/>
        </w:rPr>
        <w:t xml:space="preserve"> </w:t>
      </w:r>
      <w:r w:rsidR="004422AD" w:rsidRPr="004F14EC">
        <w:rPr>
          <w:rFonts w:ascii="Browallia New" w:hAnsi="Browallia New" w:cs="Browallia New"/>
          <w:sz w:val="28"/>
          <w:szCs w:val="28"/>
        </w:rPr>
        <w:t>“</w:t>
      </w:r>
      <w:r w:rsidR="002A7083" w:rsidRPr="004F14EC">
        <w:rPr>
          <w:rFonts w:ascii="Browallia New" w:hAnsi="Browallia New" w:cs="Browallia New"/>
          <w:sz w:val="28"/>
          <w:szCs w:val="28"/>
        </w:rPr>
        <w:t>e</w:t>
      </w:r>
      <w:r w:rsidR="00AE7348" w:rsidRPr="004F14EC">
        <w:rPr>
          <w:rFonts w:ascii="Browallia New" w:hAnsi="Browallia New" w:cs="Browallia New"/>
          <w:sz w:val="28"/>
          <w:szCs w:val="28"/>
        </w:rPr>
        <w:t>xtensively</w:t>
      </w:r>
      <w:r w:rsidR="004422AD" w:rsidRPr="004F14EC">
        <w:rPr>
          <w:rFonts w:ascii="Browallia New" w:hAnsi="Browallia New" w:cs="Browallia New"/>
          <w:sz w:val="28"/>
          <w:szCs w:val="28"/>
        </w:rPr>
        <w:t xml:space="preserve">” </w:t>
      </w:r>
      <w:r w:rsidR="00CE3705" w:rsidRPr="004F14EC">
        <w:rPr>
          <w:rFonts w:ascii="Browallia New" w:hAnsi="Browallia New" w:cs="Browallia New"/>
          <w:sz w:val="28"/>
          <w:szCs w:val="28"/>
        </w:rPr>
        <w:t>with</w:t>
      </w:r>
      <w:r w:rsidR="004422AD" w:rsidRPr="004F14EC">
        <w:rPr>
          <w:rFonts w:ascii="Browallia New" w:hAnsi="Browallia New" w:cs="Browallia New"/>
          <w:sz w:val="28"/>
          <w:szCs w:val="28"/>
        </w:rPr>
        <w:t xml:space="preserve">in the last five years and an additional </w:t>
      </w:r>
      <w:r w:rsidR="00035794" w:rsidRPr="004F14EC">
        <w:rPr>
          <w:rFonts w:ascii="Browallia New" w:hAnsi="Browallia New" w:cs="Browallia New"/>
          <w:sz w:val="28"/>
          <w:szCs w:val="28"/>
        </w:rPr>
        <w:t>2</w:t>
      </w:r>
      <w:r w:rsidR="00F32002" w:rsidRPr="004F14EC">
        <w:rPr>
          <w:rFonts w:ascii="Browallia New" w:hAnsi="Browallia New" w:cs="Browallia New"/>
          <w:sz w:val="28"/>
          <w:szCs w:val="28"/>
        </w:rPr>
        <w:t>6</w:t>
      </w:r>
      <w:r w:rsidR="00503B32" w:rsidRPr="004F14EC">
        <w:rPr>
          <w:rFonts w:ascii="Browallia New" w:hAnsi="Browallia New" w:cs="Browallia New"/>
          <w:sz w:val="28"/>
          <w:szCs w:val="28"/>
        </w:rPr>
        <w:t>%</w:t>
      </w:r>
      <w:r w:rsidR="005713FF" w:rsidRPr="004F14EC">
        <w:rPr>
          <w:rFonts w:ascii="Browallia New" w:hAnsi="Browallia New" w:cs="Browallia New"/>
          <w:sz w:val="28"/>
          <w:szCs w:val="28"/>
        </w:rPr>
        <w:t xml:space="preserve"> </w:t>
      </w:r>
      <w:r w:rsidR="004422AD" w:rsidRPr="004F14EC">
        <w:rPr>
          <w:rFonts w:ascii="Browallia New" w:hAnsi="Browallia New" w:cs="Browallia New"/>
          <w:sz w:val="28"/>
          <w:szCs w:val="28"/>
        </w:rPr>
        <w:t xml:space="preserve">of respondents noted that they have been </w:t>
      </w:r>
      <w:r w:rsidR="002A7083" w:rsidRPr="004F14EC">
        <w:rPr>
          <w:rFonts w:ascii="Browallia New" w:hAnsi="Browallia New" w:cs="Browallia New"/>
          <w:sz w:val="28"/>
          <w:szCs w:val="28"/>
        </w:rPr>
        <w:t xml:space="preserve">affected </w:t>
      </w:r>
      <w:r w:rsidR="004422AD" w:rsidRPr="004F14EC">
        <w:rPr>
          <w:rFonts w:ascii="Browallia New" w:hAnsi="Browallia New" w:cs="Browallia New"/>
          <w:sz w:val="28"/>
          <w:szCs w:val="28"/>
        </w:rPr>
        <w:t>“</w:t>
      </w:r>
      <w:r w:rsidR="002A7083" w:rsidRPr="004F14EC">
        <w:rPr>
          <w:rFonts w:ascii="Browallia New" w:hAnsi="Browallia New" w:cs="Browallia New"/>
          <w:sz w:val="28"/>
          <w:szCs w:val="28"/>
        </w:rPr>
        <w:t>m</w:t>
      </w:r>
      <w:r w:rsidR="00AE7348" w:rsidRPr="004F14EC">
        <w:rPr>
          <w:rFonts w:ascii="Browallia New" w:hAnsi="Browallia New" w:cs="Browallia New"/>
          <w:sz w:val="28"/>
          <w:szCs w:val="28"/>
        </w:rPr>
        <w:t>ost</w:t>
      </w:r>
      <w:r w:rsidR="004422AD" w:rsidRPr="004F14EC">
        <w:rPr>
          <w:rFonts w:ascii="Browallia New" w:hAnsi="Browallia New" w:cs="Browallia New"/>
          <w:sz w:val="28"/>
          <w:szCs w:val="28"/>
        </w:rPr>
        <w:t xml:space="preserve">ly” in </w:t>
      </w:r>
      <w:r w:rsidR="00CE3705" w:rsidRPr="004F14EC">
        <w:rPr>
          <w:rFonts w:ascii="Browallia New" w:hAnsi="Browallia New" w:cs="Browallia New"/>
          <w:sz w:val="28"/>
          <w:szCs w:val="28"/>
        </w:rPr>
        <w:t xml:space="preserve">that same </w:t>
      </w:r>
      <w:proofErr w:type="gramStart"/>
      <w:r w:rsidR="00CE3705" w:rsidRPr="004F14EC">
        <w:rPr>
          <w:rFonts w:ascii="Browallia New" w:hAnsi="Browallia New" w:cs="Browallia New"/>
          <w:sz w:val="28"/>
          <w:szCs w:val="28"/>
        </w:rPr>
        <w:t>time period</w:t>
      </w:r>
      <w:proofErr w:type="gramEnd"/>
      <w:r w:rsidR="004422AD" w:rsidRPr="004F14EC">
        <w:rPr>
          <w:rFonts w:ascii="Browallia New" w:hAnsi="Browallia New" w:cs="Browallia New"/>
          <w:sz w:val="28"/>
          <w:szCs w:val="28"/>
        </w:rPr>
        <w:t xml:space="preserve">. </w:t>
      </w:r>
      <w:r w:rsidR="009014AC" w:rsidRPr="004F14EC">
        <w:rPr>
          <w:rFonts w:ascii="Browallia New" w:hAnsi="Browallia New" w:cs="Browallia New"/>
          <w:sz w:val="28"/>
          <w:szCs w:val="28"/>
        </w:rPr>
        <w:t xml:space="preserve">An additional </w:t>
      </w:r>
      <w:r w:rsidR="005713FF" w:rsidRPr="004F14EC">
        <w:rPr>
          <w:rFonts w:ascii="Browallia New" w:hAnsi="Browallia New" w:cs="Browallia New"/>
          <w:sz w:val="28"/>
          <w:szCs w:val="28"/>
        </w:rPr>
        <w:t>3</w:t>
      </w:r>
      <w:r w:rsidR="00F32002" w:rsidRPr="004F14EC">
        <w:rPr>
          <w:rFonts w:ascii="Browallia New" w:hAnsi="Browallia New" w:cs="Browallia New"/>
          <w:sz w:val="28"/>
          <w:szCs w:val="28"/>
        </w:rPr>
        <w:t>2</w:t>
      </w:r>
      <w:r w:rsidR="00503B32" w:rsidRPr="004F14EC">
        <w:rPr>
          <w:rFonts w:ascii="Browallia New" w:hAnsi="Browallia New" w:cs="Browallia New"/>
          <w:sz w:val="28"/>
          <w:szCs w:val="28"/>
        </w:rPr>
        <w:t>% responded</w:t>
      </w:r>
      <w:r w:rsidR="002A7083" w:rsidRPr="004F14EC">
        <w:rPr>
          <w:rFonts w:ascii="Browallia New" w:hAnsi="Browallia New" w:cs="Browallia New"/>
          <w:sz w:val="28"/>
          <w:szCs w:val="28"/>
        </w:rPr>
        <w:t xml:space="preserve"> “somewhat” to this question</w:t>
      </w:r>
      <w:r w:rsidR="009014AC" w:rsidRPr="004F14EC">
        <w:rPr>
          <w:rFonts w:ascii="Browallia New" w:hAnsi="Browallia New" w:cs="Browallia New"/>
          <w:sz w:val="28"/>
          <w:szCs w:val="28"/>
        </w:rPr>
        <w:t xml:space="preserve">. Collectively, this data indicates that </w:t>
      </w:r>
      <w:proofErr w:type="gramStart"/>
      <w:r w:rsidR="009014AC" w:rsidRPr="004F14EC">
        <w:rPr>
          <w:rFonts w:ascii="Browallia New" w:hAnsi="Browallia New" w:cs="Browallia New"/>
          <w:sz w:val="28"/>
          <w:szCs w:val="28"/>
        </w:rPr>
        <w:t>the majority of</w:t>
      </w:r>
      <w:proofErr w:type="gramEnd"/>
      <w:r w:rsidR="009014AC" w:rsidRPr="004F14EC">
        <w:rPr>
          <w:rFonts w:ascii="Browallia New" w:hAnsi="Browallia New" w:cs="Browallia New"/>
          <w:sz w:val="28"/>
          <w:szCs w:val="28"/>
        </w:rPr>
        <w:t xml:space="preserve"> organizations </w:t>
      </w:r>
      <w:r w:rsidR="008B28A6" w:rsidRPr="004F14EC">
        <w:rPr>
          <w:rFonts w:ascii="Browallia New" w:hAnsi="Browallia New" w:cs="Browallia New"/>
          <w:sz w:val="28"/>
          <w:szCs w:val="28"/>
        </w:rPr>
        <w:t>(</w:t>
      </w:r>
      <w:r w:rsidR="00492BED">
        <w:rPr>
          <w:rFonts w:ascii="Browallia New" w:hAnsi="Browallia New" w:cs="Browallia New"/>
          <w:sz w:val="28"/>
          <w:szCs w:val="28"/>
        </w:rPr>
        <w:t>66</w:t>
      </w:r>
      <w:r w:rsidR="008B28A6" w:rsidRPr="004F14EC">
        <w:rPr>
          <w:rFonts w:ascii="Browallia New" w:hAnsi="Browallia New" w:cs="Browallia New"/>
          <w:sz w:val="28"/>
          <w:szCs w:val="28"/>
        </w:rPr>
        <w:t xml:space="preserve">%) </w:t>
      </w:r>
      <w:r w:rsidR="009014AC" w:rsidRPr="004F14EC">
        <w:rPr>
          <w:rFonts w:ascii="Browallia New" w:hAnsi="Browallia New" w:cs="Browallia New"/>
          <w:sz w:val="28"/>
          <w:szCs w:val="28"/>
        </w:rPr>
        <w:t xml:space="preserve">are being </w:t>
      </w:r>
      <w:r w:rsidR="002A7083" w:rsidRPr="004F14EC">
        <w:rPr>
          <w:rFonts w:ascii="Browallia New" w:hAnsi="Browallia New" w:cs="Browallia New"/>
          <w:sz w:val="28"/>
          <w:szCs w:val="28"/>
        </w:rPr>
        <w:t xml:space="preserve">affected </w:t>
      </w:r>
      <w:r w:rsidR="009014AC" w:rsidRPr="004F14EC">
        <w:rPr>
          <w:rFonts w:ascii="Browallia New" w:hAnsi="Browallia New" w:cs="Browallia New"/>
          <w:sz w:val="28"/>
          <w:szCs w:val="28"/>
        </w:rPr>
        <w:t>by real risk events</w:t>
      </w:r>
      <w:r w:rsidR="00CC3B47" w:rsidRPr="004F14EC">
        <w:rPr>
          <w:rFonts w:ascii="Browallia New" w:hAnsi="Browallia New" w:cs="Browallia New"/>
          <w:sz w:val="28"/>
          <w:szCs w:val="28"/>
        </w:rPr>
        <w:t xml:space="preserve"> (e.g., a competitor disruption, an IT systems breach, loss of key talent, among numerous others possible events)</w:t>
      </w:r>
      <w:r w:rsidR="009014AC" w:rsidRPr="004F14EC">
        <w:rPr>
          <w:rFonts w:ascii="Browallia New" w:hAnsi="Browallia New" w:cs="Browallia New"/>
          <w:sz w:val="28"/>
          <w:szCs w:val="28"/>
        </w:rPr>
        <w:t xml:space="preserve"> </w:t>
      </w:r>
      <w:r w:rsidR="00CC3B47" w:rsidRPr="004F14EC">
        <w:rPr>
          <w:rFonts w:ascii="Browallia New" w:hAnsi="Browallia New" w:cs="Browallia New"/>
          <w:sz w:val="28"/>
          <w:szCs w:val="28"/>
        </w:rPr>
        <w:t>in their organizations that have affected how they do business</w:t>
      </w:r>
      <w:r w:rsidR="009014AC" w:rsidRPr="004F14EC">
        <w:rPr>
          <w:rFonts w:ascii="Browallia New" w:hAnsi="Browallia New" w:cs="Browallia New"/>
          <w:sz w:val="28"/>
          <w:szCs w:val="28"/>
        </w:rPr>
        <w:t xml:space="preserve">, consistent with what we found in </w:t>
      </w:r>
      <w:r w:rsidR="00D404E0">
        <w:rPr>
          <w:rFonts w:ascii="Browallia New" w:hAnsi="Browallia New" w:cs="Browallia New"/>
          <w:sz w:val="28"/>
          <w:szCs w:val="28"/>
        </w:rPr>
        <w:t>prior years</w:t>
      </w:r>
      <w:r w:rsidR="009014AC" w:rsidRPr="004F14EC">
        <w:rPr>
          <w:rFonts w:ascii="Browallia New" w:hAnsi="Browallia New" w:cs="Browallia New"/>
          <w:sz w:val="28"/>
          <w:szCs w:val="28"/>
        </w:rPr>
        <w:t xml:space="preserve">. </w:t>
      </w:r>
    </w:p>
    <w:p w14:paraId="211F4AC5" w14:textId="0A0E62D5" w:rsidR="00181B6D" w:rsidRPr="00181B6D" w:rsidRDefault="00181B6D" w:rsidP="004F14EC">
      <w:pPr>
        <w:spacing w:line="204" w:lineRule="auto"/>
        <w:jc w:val="both"/>
        <w:rPr>
          <w:rStyle w:val="IntenseReference"/>
          <w:color w:val="1C4853" w:themeColor="accent1" w:themeShade="80"/>
        </w:rPr>
      </w:pPr>
      <w:r w:rsidRPr="00181B6D">
        <w:rPr>
          <w:rStyle w:val="IntenseReference"/>
          <w:color w:val="1C4853" w:themeColor="accent1" w:themeShade="80"/>
        </w:rPr>
        <w:t>Percentage of Respondents</w:t>
      </w:r>
    </w:p>
    <w:tbl>
      <w:tblPr>
        <w:tblStyle w:val="ListTable3-Accent3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170"/>
        <w:gridCol w:w="1260"/>
        <w:gridCol w:w="1350"/>
        <w:gridCol w:w="1170"/>
        <w:gridCol w:w="1098"/>
      </w:tblGrid>
      <w:tr w:rsidR="00AB253B" w:rsidRPr="00F46D57" w14:paraId="2E574771" w14:textId="77777777" w:rsidTr="00181B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28" w:type="dxa"/>
            <w:tcBorders>
              <w:bottom w:val="none" w:sz="0" w:space="0" w:color="auto"/>
              <w:right w:val="none" w:sz="0" w:space="0" w:color="auto"/>
            </w:tcBorders>
            <w:shd w:val="clear" w:color="auto" w:fill="BFBFBF" w:themeFill="background1" w:themeFillShade="BF"/>
          </w:tcPr>
          <w:p w14:paraId="2EC45CC2" w14:textId="77777777" w:rsidR="00011ECB" w:rsidRPr="003B1178" w:rsidRDefault="00011ECB" w:rsidP="006064B0">
            <w:pPr>
              <w:jc w:val="center"/>
              <w:rPr>
                <w:rFonts w:ascii="Browallia New" w:hAnsi="Browallia New" w:cs="Browallia New"/>
                <w:color w:val="auto"/>
                <w:sz w:val="24"/>
                <w:szCs w:val="24"/>
              </w:rPr>
            </w:pPr>
            <w:r w:rsidRPr="003B1178">
              <w:rPr>
                <w:rFonts w:ascii="Browallia New" w:hAnsi="Browallia New" w:cs="Browallia New"/>
                <w:color w:val="auto"/>
                <w:sz w:val="24"/>
                <w:szCs w:val="24"/>
              </w:rPr>
              <w:t>Question</w:t>
            </w:r>
          </w:p>
        </w:tc>
        <w:tc>
          <w:tcPr>
            <w:tcW w:w="1170" w:type="dxa"/>
            <w:shd w:val="clear" w:color="auto" w:fill="BFBFBF" w:themeFill="background1" w:themeFillShade="BF"/>
          </w:tcPr>
          <w:p w14:paraId="3E273CF8" w14:textId="77777777" w:rsidR="00011ECB" w:rsidRPr="003B1178" w:rsidRDefault="00011ECB" w:rsidP="008A2EFC">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rPr>
            </w:pPr>
            <w:r w:rsidRPr="003B1178">
              <w:rPr>
                <w:rFonts w:ascii="Browallia New" w:hAnsi="Browallia New" w:cs="Browallia New"/>
                <w:color w:val="auto"/>
                <w:sz w:val="24"/>
                <w:szCs w:val="24"/>
              </w:rPr>
              <w:t>Not at All</w:t>
            </w:r>
          </w:p>
        </w:tc>
        <w:tc>
          <w:tcPr>
            <w:tcW w:w="1260" w:type="dxa"/>
            <w:shd w:val="clear" w:color="auto" w:fill="BFBFBF" w:themeFill="background1" w:themeFillShade="BF"/>
          </w:tcPr>
          <w:p w14:paraId="025ABC4E" w14:textId="77777777" w:rsidR="00011ECB" w:rsidRPr="003B1178" w:rsidRDefault="00011ECB" w:rsidP="009C4EC7">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rPr>
            </w:pPr>
            <w:r w:rsidRPr="003B1178">
              <w:rPr>
                <w:rFonts w:ascii="Browallia New" w:hAnsi="Browallia New" w:cs="Browallia New"/>
                <w:color w:val="auto"/>
                <w:sz w:val="24"/>
                <w:szCs w:val="24"/>
              </w:rPr>
              <w:t>Minima</w:t>
            </w:r>
            <w:r w:rsidR="009C4EC7" w:rsidRPr="003B1178">
              <w:rPr>
                <w:rFonts w:ascii="Browallia New" w:hAnsi="Browallia New" w:cs="Browallia New"/>
                <w:color w:val="auto"/>
                <w:sz w:val="24"/>
                <w:szCs w:val="24"/>
              </w:rPr>
              <w:t>lly</w:t>
            </w:r>
          </w:p>
        </w:tc>
        <w:tc>
          <w:tcPr>
            <w:tcW w:w="1350" w:type="dxa"/>
            <w:shd w:val="clear" w:color="auto" w:fill="BFBFBF" w:themeFill="background1" w:themeFillShade="BF"/>
          </w:tcPr>
          <w:p w14:paraId="6DF6B761" w14:textId="77777777" w:rsidR="00011ECB" w:rsidRPr="003B1178" w:rsidRDefault="00AE7348" w:rsidP="009C4EC7">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rPr>
            </w:pPr>
            <w:r w:rsidRPr="003B1178">
              <w:rPr>
                <w:rFonts w:ascii="Browallia New" w:hAnsi="Browallia New" w:cs="Browallia New"/>
                <w:color w:val="auto"/>
                <w:sz w:val="24"/>
                <w:szCs w:val="24"/>
              </w:rPr>
              <w:t>Somewhat</w:t>
            </w:r>
          </w:p>
        </w:tc>
        <w:tc>
          <w:tcPr>
            <w:tcW w:w="1170" w:type="dxa"/>
            <w:shd w:val="clear" w:color="auto" w:fill="BFBFBF" w:themeFill="background1" w:themeFillShade="BF"/>
          </w:tcPr>
          <w:p w14:paraId="2CE5E32D" w14:textId="77777777" w:rsidR="00011ECB" w:rsidRPr="003B1178" w:rsidRDefault="00AE7348" w:rsidP="008A2EFC">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rPr>
            </w:pPr>
            <w:r w:rsidRPr="003B1178">
              <w:rPr>
                <w:rFonts w:ascii="Browallia New" w:hAnsi="Browallia New" w:cs="Browallia New"/>
                <w:color w:val="auto"/>
                <w:sz w:val="24"/>
                <w:szCs w:val="24"/>
              </w:rPr>
              <w:t>Mostly</w:t>
            </w:r>
          </w:p>
        </w:tc>
        <w:tc>
          <w:tcPr>
            <w:tcW w:w="1098" w:type="dxa"/>
            <w:shd w:val="clear" w:color="auto" w:fill="BFBFBF" w:themeFill="background1" w:themeFillShade="BF"/>
          </w:tcPr>
          <w:p w14:paraId="0A490526" w14:textId="77777777" w:rsidR="00011ECB" w:rsidRPr="003B1178" w:rsidRDefault="00AE7348" w:rsidP="00AE7348">
            <w:pPr>
              <w:ind w:left="-202" w:hanging="90"/>
              <w:jc w:val="right"/>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rPr>
            </w:pPr>
            <w:r w:rsidRPr="003B1178">
              <w:rPr>
                <w:rFonts w:ascii="Browallia New" w:hAnsi="Browallia New" w:cs="Browallia New"/>
                <w:color w:val="auto"/>
                <w:sz w:val="24"/>
                <w:szCs w:val="24"/>
              </w:rPr>
              <w:t>Extensively</w:t>
            </w:r>
          </w:p>
        </w:tc>
      </w:tr>
      <w:tr w:rsidR="00DC4C0E" w:rsidRPr="00F46D57" w14:paraId="61DD88B3"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bottom w:val="none" w:sz="0" w:space="0" w:color="auto"/>
              <w:right w:val="none" w:sz="0" w:space="0" w:color="auto"/>
            </w:tcBorders>
          </w:tcPr>
          <w:p w14:paraId="655C7C36" w14:textId="77777777" w:rsidR="00011ECB" w:rsidRPr="003B1178" w:rsidRDefault="00BD0782" w:rsidP="00606007">
            <w:pPr>
              <w:spacing w:line="180" w:lineRule="auto"/>
              <w:rPr>
                <w:rFonts w:ascii="Browallia New" w:hAnsi="Browallia New" w:cs="Browallia New"/>
                <w:sz w:val="24"/>
                <w:szCs w:val="24"/>
              </w:rPr>
            </w:pPr>
            <w:r w:rsidRPr="003B1178">
              <w:rPr>
                <w:rFonts w:ascii="Browallia New" w:hAnsi="Browallia New" w:cs="Browallia New"/>
                <w:sz w:val="24"/>
                <w:szCs w:val="24"/>
              </w:rPr>
              <w:t>To what extent has your organization faced a</w:t>
            </w:r>
            <w:r w:rsidR="00B511F7" w:rsidRPr="003B1178">
              <w:rPr>
                <w:rFonts w:ascii="Browallia New" w:hAnsi="Browallia New" w:cs="Browallia New"/>
                <w:sz w:val="24"/>
                <w:szCs w:val="24"/>
              </w:rPr>
              <w:t>n</w:t>
            </w:r>
            <w:r w:rsidRPr="003B1178">
              <w:rPr>
                <w:rFonts w:ascii="Browallia New" w:hAnsi="Browallia New" w:cs="Browallia New"/>
                <w:sz w:val="24"/>
                <w:szCs w:val="24"/>
              </w:rPr>
              <w:t xml:space="preserve"> operational surprise in the last five years?</w:t>
            </w:r>
          </w:p>
        </w:tc>
        <w:tc>
          <w:tcPr>
            <w:tcW w:w="1170" w:type="dxa"/>
            <w:tcBorders>
              <w:top w:val="none" w:sz="0" w:space="0" w:color="auto"/>
              <w:bottom w:val="none" w:sz="0" w:space="0" w:color="auto"/>
            </w:tcBorders>
            <w:shd w:val="clear" w:color="auto" w:fill="FFFFFF" w:themeFill="background1"/>
          </w:tcPr>
          <w:p w14:paraId="28160C5E" w14:textId="77777777" w:rsidR="00BD0782" w:rsidRPr="003B1178" w:rsidRDefault="00E851DE" w:rsidP="00105BC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5%</w:t>
            </w:r>
          </w:p>
        </w:tc>
        <w:tc>
          <w:tcPr>
            <w:tcW w:w="1260" w:type="dxa"/>
            <w:tcBorders>
              <w:top w:val="none" w:sz="0" w:space="0" w:color="auto"/>
              <w:bottom w:val="none" w:sz="0" w:space="0" w:color="auto"/>
            </w:tcBorders>
            <w:shd w:val="clear" w:color="auto" w:fill="FFFFFF" w:themeFill="background1"/>
          </w:tcPr>
          <w:p w14:paraId="70E54970" w14:textId="77777777" w:rsidR="00BD0782" w:rsidRPr="003B1178" w:rsidRDefault="00E851DE" w:rsidP="00105BC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29%</w:t>
            </w:r>
          </w:p>
        </w:tc>
        <w:tc>
          <w:tcPr>
            <w:tcW w:w="1350" w:type="dxa"/>
            <w:tcBorders>
              <w:top w:val="none" w:sz="0" w:space="0" w:color="auto"/>
              <w:bottom w:val="none" w:sz="0" w:space="0" w:color="auto"/>
            </w:tcBorders>
            <w:shd w:val="clear" w:color="auto" w:fill="FFFFFF" w:themeFill="background1"/>
          </w:tcPr>
          <w:p w14:paraId="273F3EFB" w14:textId="77777777" w:rsidR="00BD0782" w:rsidRPr="003B1178" w:rsidRDefault="00E851DE" w:rsidP="00105BC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32%</w:t>
            </w:r>
          </w:p>
        </w:tc>
        <w:tc>
          <w:tcPr>
            <w:tcW w:w="1170" w:type="dxa"/>
            <w:tcBorders>
              <w:top w:val="none" w:sz="0" w:space="0" w:color="auto"/>
              <w:bottom w:val="none" w:sz="0" w:space="0" w:color="auto"/>
            </w:tcBorders>
            <w:shd w:val="clear" w:color="auto" w:fill="FFFFFF" w:themeFill="background1"/>
          </w:tcPr>
          <w:p w14:paraId="405FEF3C" w14:textId="77777777" w:rsidR="00011ECB" w:rsidRPr="003B1178" w:rsidRDefault="00F32002" w:rsidP="00105BC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26</w:t>
            </w:r>
            <w:r w:rsidR="00E851DE" w:rsidRPr="003B1178">
              <w:rPr>
                <w:rFonts w:ascii="Browallia New" w:hAnsi="Browallia New" w:cs="Browallia New"/>
                <w:b/>
                <w:sz w:val="24"/>
                <w:szCs w:val="24"/>
              </w:rPr>
              <w:t>%</w:t>
            </w:r>
          </w:p>
        </w:tc>
        <w:tc>
          <w:tcPr>
            <w:tcW w:w="1098" w:type="dxa"/>
            <w:tcBorders>
              <w:top w:val="none" w:sz="0" w:space="0" w:color="auto"/>
              <w:bottom w:val="none" w:sz="0" w:space="0" w:color="auto"/>
            </w:tcBorders>
            <w:shd w:val="clear" w:color="auto" w:fill="FFFFFF" w:themeFill="background1"/>
          </w:tcPr>
          <w:p w14:paraId="3B69B8A6" w14:textId="77777777" w:rsidR="00BD0782" w:rsidRPr="003B1178" w:rsidRDefault="00E851DE" w:rsidP="00105BC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8%</w:t>
            </w:r>
          </w:p>
        </w:tc>
      </w:tr>
    </w:tbl>
    <w:p w14:paraId="0AD23769" w14:textId="77777777" w:rsidR="003C1677" w:rsidRPr="004F14EC" w:rsidRDefault="003C1677" w:rsidP="004F14EC">
      <w:pPr>
        <w:spacing w:line="204" w:lineRule="auto"/>
        <w:jc w:val="both"/>
        <w:rPr>
          <w:rFonts w:ascii="Browallia New" w:hAnsi="Browallia New" w:cs="Browallia New"/>
          <w:sz w:val="28"/>
          <w:szCs w:val="28"/>
        </w:rPr>
      </w:pPr>
      <w:r w:rsidRPr="004F14EC">
        <w:rPr>
          <w:rFonts w:ascii="Browallia New" w:hAnsi="Browallia New" w:cs="Browallia New"/>
          <w:sz w:val="28"/>
          <w:szCs w:val="28"/>
        </w:rPr>
        <w:lastRenderedPageBreak/>
        <w:t>The rate</w:t>
      </w:r>
      <w:r w:rsidR="00F46129" w:rsidRPr="004F14EC">
        <w:rPr>
          <w:rFonts w:ascii="Browallia New" w:hAnsi="Browallia New" w:cs="Browallia New"/>
          <w:sz w:val="28"/>
          <w:szCs w:val="28"/>
        </w:rPr>
        <w:t xml:space="preserve"> of operational surprises</w:t>
      </w:r>
      <w:r w:rsidRPr="004F14EC">
        <w:rPr>
          <w:rFonts w:ascii="Browallia New" w:hAnsi="Browallia New" w:cs="Browallia New"/>
          <w:sz w:val="28"/>
          <w:szCs w:val="28"/>
        </w:rPr>
        <w:t xml:space="preserve"> is even higher </w:t>
      </w:r>
      <w:r w:rsidR="00D90329">
        <w:rPr>
          <w:rFonts w:ascii="Browallia New" w:hAnsi="Browallia New" w:cs="Browallia New"/>
          <w:sz w:val="28"/>
          <w:szCs w:val="28"/>
        </w:rPr>
        <w:t xml:space="preserve">for larger organizations and public companies </w:t>
      </w:r>
      <w:r w:rsidR="00492BED">
        <w:rPr>
          <w:rFonts w:ascii="Browallia New" w:hAnsi="Browallia New" w:cs="Browallia New"/>
          <w:sz w:val="28"/>
          <w:szCs w:val="28"/>
        </w:rPr>
        <w:t>where 72% and 73%</w:t>
      </w:r>
      <w:r w:rsidR="00D90329">
        <w:rPr>
          <w:rFonts w:ascii="Browallia New" w:hAnsi="Browallia New" w:cs="Browallia New"/>
          <w:sz w:val="28"/>
          <w:szCs w:val="28"/>
        </w:rPr>
        <w:t>, respectively,</w:t>
      </w:r>
      <w:r w:rsidR="00492BED">
        <w:rPr>
          <w:rFonts w:ascii="Browallia New" w:hAnsi="Browallia New" w:cs="Browallia New"/>
          <w:sz w:val="28"/>
          <w:szCs w:val="28"/>
        </w:rPr>
        <w:t xml:space="preserve"> of respondents </w:t>
      </w:r>
      <w:r w:rsidR="00D90329">
        <w:rPr>
          <w:rFonts w:ascii="Browallia New" w:hAnsi="Browallia New" w:cs="Browallia New"/>
          <w:sz w:val="28"/>
          <w:szCs w:val="28"/>
        </w:rPr>
        <w:t>answered the question with</w:t>
      </w:r>
      <w:r w:rsidRPr="004F14EC">
        <w:rPr>
          <w:rFonts w:ascii="Browallia New" w:hAnsi="Browallia New" w:cs="Browallia New"/>
          <w:sz w:val="28"/>
          <w:szCs w:val="28"/>
        </w:rPr>
        <w:t xml:space="preserve"> “somewhat,” “mostly,” or “extensively.” The reality is that all organizations are dealing with unexpected risks. About </w:t>
      </w:r>
      <w:r w:rsidR="00926C4D" w:rsidRPr="004F14EC">
        <w:rPr>
          <w:rFonts w:ascii="Browallia New" w:hAnsi="Browallia New" w:cs="Browallia New"/>
          <w:sz w:val="28"/>
          <w:szCs w:val="28"/>
        </w:rPr>
        <w:t>6</w:t>
      </w:r>
      <w:r w:rsidRPr="004F14EC">
        <w:rPr>
          <w:rFonts w:ascii="Browallia New" w:hAnsi="Browallia New" w:cs="Browallia New"/>
          <w:sz w:val="28"/>
          <w:szCs w:val="28"/>
        </w:rPr>
        <w:t>0% of the financial services entities and not-for-profit organizations in our sample responded with “somewhat” or higher to this question</w:t>
      </w:r>
      <w:r w:rsidR="00812EF9" w:rsidRPr="004F14EC">
        <w:rPr>
          <w:rFonts w:ascii="Browallia New" w:hAnsi="Browallia New" w:cs="Browallia New"/>
          <w:sz w:val="28"/>
          <w:szCs w:val="28"/>
        </w:rPr>
        <w:t xml:space="preserve"> about the presence of operational surprises in the past five years</w:t>
      </w:r>
      <w:r w:rsidRPr="004F14EC">
        <w:rPr>
          <w:rFonts w:ascii="Browallia New" w:hAnsi="Browallia New" w:cs="Browallia New"/>
          <w:sz w:val="28"/>
          <w:szCs w:val="28"/>
        </w:rPr>
        <w:t>.</w:t>
      </w:r>
    </w:p>
    <w:p w14:paraId="3DA47EB4" w14:textId="77777777" w:rsidR="003C1677" w:rsidRPr="00F46D57" w:rsidRDefault="003C1677" w:rsidP="00E24AB1">
      <w:pPr>
        <w:jc w:val="center"/>
        <w:rPr>
          <w:rFonts w:ascii="Browallia New" w:hAnsi="Browallia New" w:cs="Browallia New"/>
        </w:rPr>
      </w:pPr>
      <w:r w:rsidRPr="00F46D57">
        <w:rPr>
          <w:rFonts w:ascii="Browallia New" w:hAnsi="Browallia New" w:cs="Browallia New"/>
          <w:noProof/>
        </w:rPr>
        <w:drawing>
          <wp:inline distT="0" distB="0" distL="0" distR="0" wp14:anchorId="464E8FE5" wp14:editId="6A2C9151">
            <wp:extent cx="5402580" cy="3395345"/>
            <wp:effectExtent l="0" t="0" r="7620" b="0"/>
            <wp:docPr id="129" name="Chart 129" descr="Bar chart of organizations experiencing an operational surprise somewhat, mostly, or extensively in the past 5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9D84C6" w14:textId="77777777" w:rsidR="00475EC3" w:rsidRDefault="00475EC3" w:rsidP="004F14EC">
      <w:pPr>
        <w:spacing w:line="204" w:lineRule="auto"/>
        <w:jc w:val="both"/>
        <w:rPr>
          <w:rFonts w:ascii="Browallia New" w:hAnsi="Browallia New" w:cs="Browallia New"/>
          <w:sz w:val="28"/>
          <w:szCs w:val="28"/>
        </w:rPr>
      </w:pPr>
      <w:r>
        <w:rPr>
          <w:rFonts w:ascii="Browallia New" w:hAnsi="Browallia New" w:cs="Browallia New"/>
          <w:sz w:val="28"/>
          <w:szCs w:val="28"/>
        </w:rPr>
        <w:t>While these percentages were closer to 80% in the prior year for large organizations and public companies</w:t>
      </w:r>
      <w:r w:rsidR="0059711E">
        <w:rPr>
          <w:rFonts w:ascii="Browallia New" w:hAnsi="Browallia New" w:cs="Browallia New"/>
          <w:sz w:val="28"/>
          <w:szCs w:val="28"/>
        </w:rPr>
        <w:t xml:space="preserve"> and 70% for financial services</w:t>
      </w:r>
      <w:r>
        <w:rPr>
          <w:rFonts w:ascii="Browallia New" w:hAnsi="Browallia New" w:cs="Browallia New"/>
          <w:sz w:val="28"/>
          <w:szCs w:val="28"/>
        </w:rPr>
        <w:t xml:space="preserve">, the percentages for the current year continue to reveal that an overwhelming majority of respondents across different types of organizations have experienced a significant operational surprise in the past five years. </w:t>
      </w:r>
      <w:r w:rsidR="0083183D" w:rsidRPr="004F14EC">
        <w:rPr>
          <w:rFonts w:ascii="Browallia New" w:hAnsi="Browallia New" w:cs="Browallia New"/>
          <w:sz w:val="28"/>
          <w:szCs w:val="28"/>
        </w:rPr>
        <w:t xml:space="preserve">Relative to our </w:t>
      </w:r>
      <w:r w:rsidR="00CE3705" w:rsidRPr="004F14EC">
        <w:rPr>
          <w:rFonts w:ascii="Browallia New" w:hAnsi="Browallia New" w:cs="Browallia New"/>
          <w:sz w:val="28"/>
          <w:szCs w:val="28"/>
        </w:rPr>
        <w:t>earlier</w:t>
      </w:r>
      <w:r w:rsidR="0083183D" w:rsidRPr="004F14EC">
        <w:rPr>
          <w:rFonts w:ascii="Browallia New" w:hAnsi="Browallia New" w:cs="Browallia New"/>
          <w:sz w:val="28"/>
          <w:szCs w:val="28"/>
        </w:rPr>
        <w:t xml:space="preserve"> stud</w:t>
      </w:r>
      <w:r w:rsidR="000435DC" w:rsidRPr="004F14EC">
        <w:rPr>
          <w:rFonts w:ascii="Browallia New" w:hAnsi="Browallia New" w:cs="Browallia New"/>
          <w:sz w:val="28"/>
          <w:szCs w:val="28"/>
        </w:rPr>
        <w:t>ies</w:t>
      </w:r>
      <w:r w:rsidR="0083183D" w:rsidRPr="004F14EC">
        <w:rPr>
          <w:rFonts w:ascii="Browallia New" w:hAnsi="Browallia New" w:cs="Browallia New"/>
          <w:sz w:val="28"/>
          <w:szCs w:val="28"/>
        </w:rPr>
        <w:t xml:space="preserve">, we do not observe a </w:t>
      </w:r>
      <w:r w:rsidR="00342450" w:rsidRPr="004F14EC">
        <w:rPr>
          <w:rFonts w:ascii="Browallia New" w:hAnsi="Browallia New" w:cs="Browallia New"/>
          <w:sz w:val="28"/>
          <w:szCs w:val="28"/>
        </w:rPr>
        <w:t xml:space="preserve">notable </w:t>
      </w:r>
      <w:r w:rsidR="0083183D" w:rsidRPr="004F14EC">
        <w:rPr>
          <w:rFonts w:ascii="Browallia New" w:hAnsi="Browallia New" w:cs="Browallia New"/>
          <w:sz w:val="28"/>
          <w:szCs w:val="28"/>
        </w:rPr>
        <w:t xml:space="preserve">reduction in the rate of operational surprises </w:t>
      </w:r>
      <w:r w:rsidR="00E46568" w:rsidRPr="004F14EC">
        <w:rPr>
          <w:rFonts w:ascii="Browallia New" w:hAnsi="Browallia New" w:cs="Browallia New"/>
          <w:sz w:val="28"/>
          <w:szCs w:val="28"/>
        </w:rPr>
        <w:t>affecting organizations</w:t>
      </w:r>
      <w:r w:rsidR="0083183D" w:rsidRPr="004F14EC">
        <w:rPr>
          <w:rFonts w:ascii="Browallia New" w:hAnsi="Browallia New" w:cs="Browallia New"/>
          <w:sz w:val="28"/>
          <w:szCs w:val="28"/>
        </w:rPr>
        <w:t xml:space="preserve"> “</w:t>
      </w:r>
      <w:r w:rsidR="00E46568" w:rsidRPr="004F14EC">
        <w:rPr>
          <w:rFonts w:ascii="Browallia New" w:hAnsi="Browallia New" w:cs="Browallia New"/>
          <w:sz w:val="28"/>
          <w:szCs w:val="28"/>
        </w:rPr>
        <w:t>m</w:t>
      </w:r>
      <w:r w:rsidR="007059AC" w:rsidRPr="004F14EC">
        <w:rPr>
          <w:rFonts w:ascii="Browallia New" w:hAnsi="Browallia New" w:cs="Browallia New"/>
          <w:sz w:val="28"/>
          <w:szCs w:val="28"/>
        </w:rPr>
        <w:t>ost</w:t>
      </w:r>
      <w:r w:rsidR="0083183D" w:rsidRPr="004F14EC">
        <w:rPr>
          <w:rFonts w:ascii="Browallia New" w:hAnsi="Browallia New" w:cs="Browallia New"/>
          <w:sz w:val="28"/>
          <w:szCs w:val="28"/>
        </w:rPr>
        <w:t>ly” or “</w:t>
      </w:r>
      <w:r w:rsidR="00E46568" w:rsidRPr="004F14EC">
        <w:rPr>
          <w:rFonts w:ascii="Browallia New" w:hAnsi="Browallia New" w:cs="Browallia New"/>
          <w:sz w:val="28"/>
          <w:szCs w:val="28"/>
        </w:rPr>
        <w:t>e</w:t>
      </w:r>
      <w:r w:rsidR="007059AC" w:rsidRPr="004F14EC">
        <w:rPr>
          <w:rFonts w:ascii="Browallia New" w:hAnsi="Browallia New" w:cs="Browallia New"/>
          <w:sz w:val="28"/>
          <w:szCs w:val="28"/>
        </w:rPr>
        <w:t>xtensively</w:t>
      </w:r>
      <w:r w:rsidR="00E46568" w:rsidRPr="004F14EC">
        <w:rPr>
          <w:rFonts w:ascii="Browallia New" w:hAnsi="Browallia New" w:cs="Browallia New"/>
          <w:sz w:val="28"/>
          <w:szCs w:val="28"/>
        </w:rPr>
        <w:t>.</w:t>
      </w:r>
      <w:r w:rsidR="0083183D" w:rsidRPr="004F14EC">
        <w:rPr>
          <w:rFonts w:ascii="Browallia New" w:hAnsi="Browallia New" w:cs="Browallia New"/>
          <w:sz w:val="28"/>
          <w:szCs w:val="28"/>
        </w:rPr>
        <w:t>”</w:t>
      </w:r>
      <w:r w:rsidR="00F42094" w:rsidRPr="004F14EC">
        <w:rPr>
          <w:rFonts w:ascii="Browallia New" w:hAnsi="Browallia New" w:cs="Browallia New"/>
          <w:sz w:val="28"/>
          <w:szCs w:val="28"/>
        </w:rPr>
        <w:t xml:space="preserve"> </w:t>
      </w:r>
    </w:p>
    <w:p w14:paraId="37FB816A" w14:textId="77777777" w:rsidR="00E24F4B" w:rsidRPr="004F14EC" w:rsidRDefault="00931FA9" w:rsidP="004F14EC">
      <w:pPr>
        <w:spacing w:line="204" w:lineRule="auto"/>
        <w:jc w:val="both"/>
        <w:rPr>
          <w:rFonts w:ascii="Browallia New" w:hAnsi="Browallia New" w:cs="Browallia New"/>
          <w:sz w:val="28"/>
          <w:szCs w:val="28"/>
        </w:rPr>
      </w:pPr>
      <w:r w:rsidRPr="004F14EC">
        <w:rPr>
          <w:rFonts w:ascii="Browallia New" w:hAnsi="Browallia New" w:cs="Browallia New"/>
          <w:sz w:val="28"/>
          <w:szCs w:val="28"/>
        </w:rPr>
        <w:t>T</w:t>
      </w:r>
      <w:r w:rsidR="0083183D" w:rsidRPr="004F14EC">
        <w:rPr>
          <w:rFonts w:ascii="Browallia New" w:hAnsi="Browallia New" w:cs="Browallia New"/>
          <w:sz w:val="28"/>
          <w:szCs w:val="28"/>
        </w:rPr>
        <w:t>he</w:t>
      </w:r>
      <w:r w:rsidRPr="004F14EC">
        <w:rPr>
          <w:rFonts w:ascii="Browallia New" w:hAnsi="Browallia New" w:cs="Browallia New"/>
          <w:sz w:val="28"/>
          <w:szCs w:val="28"/>
        </w:rPr>
        <w:t xml:space="preserve"> responses </w:t>
      </w:r>
      <w:r w:rsidR="006A5BAE" w:rsidRPr="004F14EC">
        <w:rPr>
          <w:rFonts w:ascii="Browallia New" w:hAnsi="Browallia New" w:cs="Browallia New"/>
          <w:sz w:val="28"/>
          <w:szCs w:val="28"/>
        </w:rPr>
        <w:t xml:space="preserve">to </w:t>
      </w:r>
      <w:r w:rsidR="00475EC3">
        <w:rPr>
          <w:rFonts w:ascii="Browallia New" w:hAnsi="Browallia New" w:cs="Browallia New"/>
          <w:sz w:val="28"/>
          <w:szCs w:val="28"/>
        </w:rPr>
        <w:t xml:space="preserve">these </w:t>
      </w:r>
      <w:r w:rsidR="006A5BAE" w:rsidRPr="004F14EC">
        <w:rPr>
          <w:rFonts w:ascii="Browallia New" w:hAnsi="Browallia New" w:cs="Browallia New"/>
          <w:sz w:val="28"/>
          <w:szCs w:val="28"/>
        </w:rPr>
        <w:t>questions</w:t>
      </w:r>
      <w:r w:rsidR="006474A2" w:rsidRPr="004F14EC">
        <w:rPr>
          <w:rFonts w:ascii="Browallia New" w:hAnsi="Browallia New" w:cs="Browallia New"/>
          <w:sz w:val="28"/>
          <w:szCs w:val="28"/>
        </w:rPr>
        <w:t xml:space="preserve"> about the nature and extent of risks organizations face </w:t>
      </w:r>
      <w:r w:rsidR="00986FCF" w:rsidRPr="004F14EC">
        <w:rPr>
          <w:rFonts w:ascii="Browallia New" w:hAnsi="Browallia New" w:cs="Browallia New"/>
          <w:sz w:val="28"/>
          <w:szCs w:val="28"/>
        </w:rPr>
        <w:t xml:space="preserve">indicate </w:t>
      </w:r>
      <w:r w:rsidR="006474A2" w:rsidRPr="004F14EC">
        <w:rPr>
          <w:rFonts w:ascii="Browallia New" w:hAnsi="Browallia New" w:cs="Browallia New"/>
          <w:sz w:val="28"/>
          <w:szCs w:val="28"/>
        </w:rPr>
        <w:t xml:space="preserve">that executives are experiencing </w:t>
      </w:r>
      <w:r w:rsidR="00342450" w:rsidRPr="004F14EC">
        <w:rPr>
          <w:rFonts w:ascii="Browallia New" w:hAnsi="Browallia New" w:cs="Browallia New"/>
          <w:sz w:val="28"/>
          <w:szCs w:val="28"/>
        </w:rPr>
        <w:t xml:space="preserve">a noticeably high </w:t>
      </w:r>
      <w:r w:rsidR="00986FCF" w:rsidRPr="004F14EC">
        <w:rPr>
          <w:rFonts w:ascii="Browallia New" w:hAnsi="Browallia New" w:cs="Browallia New"/>
          <w:sz w:val="28"/>
          <w:szCs w:val="28"/>
        </w:rPr>
        <w:t>volume of risks that are also growing in complexit</w:t>
      </w:r>
      <w:r w:rsidR="00011ECB" w:rsidRPr="004F14EC">
        <w:rPr>
          <w:rFonts w:ascii="Browallia New" w:hAnsi="Browallia New" w:cs="Browallia New"/>
          <w:sz w:val="28"/>
          <w:szCs w:val="28"/>
        </w:rPr>
        <w:t>y</w:t>
      </w:r>
      <w:r w:rsidR="006474A2" w:rsidRPr="004F14EC">
        <w:rPr>
          <w:rFonts w:ascii="Browallia New" w:hAnsi="Browallia New" w:cs="Browallia New"/>
          <w:sz w:val="28"/>
          <w:szCs w:val="28"/>
        </w:rPr>
        <w:t>, which</w:t>
      </w:r>
      <w:r w:rsidR="00F42094" w:rsidRPr="004F14EC">
        <w:rPr>
          <w:rFonts w:ascii="Browallia New" w:hAnsi="Browallia New" w:cs="Browallia New"/>
          <w:sz w:val="28"/>
          <w:szCs w:val="28"/>
        </w:rPr>
        <w:t xml:space="preserve"> </w:t>
      </w:r>
      <w:r w:rsidR="009014AC" w:rsidRPr="004F14EC">
        <w:rPr>
          <w:rFonts w:ascii="Browallia New" w:hAnsi="Browallia New" w:cs="Browallia New"/>
          <w:sz w:val="28"/>
          <w:szCs w:val="28"/>
        </w:rPr>
        <w:t xml:space="preserve">ultimately </w:t>
      </w:r>
      <w:r w:rsidR="006474A2" w:rsidRPr="004F14EC">
        <w:rPr>
          <w:rFonts w:ascii="Browallia New" w:hAnsi="Browallia New" w:cs="Browallia New"/>
          <w:sz w:val="28"/>
          <w:szCs w:val="28"/>
        </w:rPr>
        <w:t>results in</w:t>
      </w:r>
      <w:r w:rsidR="00986FCF" w:rsidRPr="004F14EC">
        <w:rPr>
          <w:rFonts w:ascii="Browallia New" w:hAnsi="Browallia New" w:cs="Browallia New"/>
          <w:sz w:val="28"/>
          <w:szCs w:val="28"/>
        </w:rPr>
        <w:t xml:space="preserve"> significant </w:t>
      </w:r>
      <w:r w:rsidR="006A5BAE" w:rsidRPr="004F14EC">
        <w:rPr>
          <w:rFonts w:ascii="Browallia New" w:hAnsi="Browallia New" w:cs="Browallia New"/>
          <w:sz w:val="28"/>
          <w:szCs w:val="28"/>
        </w:rPr>
        <w:t xml:space="preserve">unanticipated </w:t>
      </w:r>
      <w:r w:rsidR="00986FCF" w:rsidRPr="004F14EC">
        <w:rPr>
          <w:rFonts w:ascii="Browallia New" w:hAnsi="Browallia New" w:cs="Browallia New"/>
          <w:sz w:val="28"/>
          <w:szCs w:val="28"/>
        </w:rPr>
        <w:t xml:space="preserve">operational </w:t>
      </w:r>
      <w:r w:rsidR="001C3E3F" w:rsidRPr="004F14EC">
        <w:rPr>
          <w:rFonts w:ascii="Browallia New" w:hAnsi="Browallia New" w:cs="Browallia New"/>
          <w:sz w:val="28"/>
          <w:szCs w:val="28"/>
        </w:rPr>
        <w:t>issues</w:t>
      </w:r>
      <w:r w:rsidR="00986FCF" w:rsidRPr="004F14EC">
        <w:rPr>
          <w:rFonts w:ascii="Browallia New" w:hAnsi="Browallia New" w:cs="Browallia New"/>
          <w:sz w:val="28"/>
          <w:szCs w:val="28"/>
        </w:rPr>
        <w:t>.</w:t>
      </w:r>
      <w:r w:rsidR="00844EC7" w:rsidRPr="004F14EC">
        <w:rPr>
          <w:rFonts w:ascii="Browallia New" w:hAnsi="Browallia New" w:cs="Browallia New"/>
          <w:sz w:val="28"/>
          <w:szCs w:val="28"/>
        </w:rPr>
        <w:t xml:space="preserve"> The reality that unexpected risks and uncertainties occur and </w:t>
      </w:r>
      <w:r w:rsidR="00CE3705" w:rsidRPr="004F14EC">
        <w:rPr>
          <w:rFonts w:ascii="Browallia New" w:hAnsi="Browallia New" w:cs="Browallia New"/>
          <w:sz w:val="28"/>
          <w:szCs w:val="28"/>
        </w:rPr>
        <w:t xml:space="preserve">continue to </w:t>
      </w:r>
      <w:r w:rsidR="00844EC7" w:rsidRPr="004F14EC">
        <w:rPr>
          <w:rFonts w:ascii="Browallia New" w:hAnsi="Browallia New" w:cs="Browallia New"/>
          <w:sz w:val="28"/>
          <w:szCs w:val="28"/>
        </w:rPr>
        <w:t xml:space="preserve">“surprise” organizational leaders suggests that opportunities to improve risk management techniques </w:t>
      </w:r>
      <w:r w:rsidR="00CE3705" w:rsidRPr="004F14EC">
        <w:rPr>
          <w:rFonts w:ascii="Browallia New" w:hAnsi="Browallia New" w:cs="Browallia New"/>
          <w:sz w:val="28"/>
          <w:szCs w:val="28"/>
        </w:rPr>
        <w:t>still</w:t>
      </w:r>
      <w:r w:rsidR="006474A2" w:rsidRPr="004F14EC">
        <w:rPr>
          <w:rFonts w:ascii="Browallia New" w:hAnsi="Browallia New" w:cs="Browallia New"/>
          <w:sz w:val="28"/>
          <w:szCs w:val="28"/>
        </w:rPr>
        <w:t xml:space="preserve"> exist </w:t>
      </w:r>
      <w:r w:rsidR="009E0627" w:rsidRPr="004F14EC">
        <w:rPr>
          <w:rFonts w:ascii="Browallia New" w:hAnsi="Browallia New" w:cs="Browallia New"/>
          <w:sz w:val="28"/>
          <w:szCs w:val="28"/>
        </w:rPr>
        <w:t>for</w:t>
      </w:r>
      <w:r w:rsidR="006474A2" w:rsidRPr="004F14EC">
        <w:rPr>
          <w:rFonts w:ascii="Browallia New" w:hAnsi="Browallia New" w:cs="Browallia New"/>
          <w:sz w:val="28"/>
          <w:szCs w:val="28"/>
        </w:rPr>
        <w:t xml:space="preserve"> most organizations</w:t>
      </w:r>
      <w:r w:rsidR="00844EC7" w:rsidRPr="004F14EC">
        <w:rPr>
          <w:rFonts w:ascii="Browallia New" w:hAnsi="Browallia New" w:cs="Browallia New"/>
          <w:sz w:val="28"/>
          <w:szCs w:val="28"/>
        </w:rPr>
        <w:t xml:space="preserve">. </w:t>
      </w:r>
    </w:p>
    <w:p w14:paraId="46A07F0C" w14:textId="77777777" w:rsidR="004F14EC" w:rsidRPr="00F46D57" w:rsidRDefault="004F14EC" w:rsidP="004F14EC">
      <w:pPr>
        <w:rPr>
          <w:rFonts w:ascii="Browallia New" w:hAnsi="Browallia New" w:cs="Browallia New"/>
          <w:color w:val="002060"/>
        </w:rPr>
      </w:pPr>
      <w:r w:rsidRPr="00F46D57">
        <w:rPr>
          <w:rFonts w:ascii="Browallia New" w:hAnsi="Browallia New" w:cs="Browallia New"/>
          <w:color w:val="002060"/>
        </w:rPr>
        <w:br w:type="page"/>
      </w:r>
    </w:p>
    <w:p w14:paraId="1636CA66" w14:textId="77777777" w:rsidR="004F14EC" w:rsidRPr="00917DD2" w:rsidRDefault="007C4725" w:rsidP="00181B6D">
      <w:pPr>
        <w:pStyle w:val="Heading1"/>
      </w:pPr>
      <w:r>
        <w:lastRenderedPageBreak/>
        <w:t>E</w:t>
      </w:r>
      <w:r w:rsidR="006211B9">
        <w:t>XPECTATIONS GROWING FOR IMPROVED ENTERPRISE-WIDE RISK OVERSIGHT</w:t>
      </w:r>
    </w:p>
    <w:p w14:paraId="4EFF7921" w14:textId="77777777" w:rsidR="00CF39C1" w:rsidRPr="00775C92" w:rsidRDefault="00CF39C1" w:rsidP="00CF39C1">
      <w:pPr>
        <w:pStyle w:val="ListParagraph"/>
        <w:numPr>
          <w:ilvl w:val="0"/>
          <w:numId w:val="36"/>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Boards of directors are placing significant expectations on management for increased senior executive involvement in risk oversight</w:t>
      </w:r>
      <w:r w:rsidR="00815E7B" w:rsidRPr="00775C92">
        <w:rPr>
          <w:rFonts w:ascii="Browallia New" w:hAnsi="Browallia New" w:cs="Browallia New"/>
          <w:b/>
          <w:i/>
          <w:color w:val="0070C0"/>
          <w:sz w:val="28"/>
          <w:szCs w:val="28"/>
        </w:rPr>
        <w:t>.</w:t>
      </w:r>
    </w:p>
    <w:p w14:paraId="39D6CB2B" w14:textId="77777777" w:rsidR="0054728D" w:rsidRPr="00775C92" w:rsidRDefault="0054728D" w:rsidP="00CF39C1">
      <w:pPr>
        <w:pStyle w:val="ListParagraph"/>
        <w:numPr>
          <w:ilvl w:val="0"/>
          <w:numId w:val="36"/>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 xml:space="preserve">CEOs </w:t>
      </w:r>
      <w:r w:rsidR="00250FB7">
        <w:rPr>
          <w:rFonts w:ascii="Browallia New" w:hAnsi="Browallia New" w:cs="Browallia New"/>
          <w:b/>
          <w:i/>
          <w:color w:val="0070C0"/>
          <w:sz w:val="28"/>
          <w:szCs w:val="28"/>
        </w:rPr>
        <w:t>continue to seek</w:t>
      </w:r>
      <w:r w:rsidRPr="00775C92">
        <w:rPr>
          <w:rFonts w:ascii="Browallia New" w:hAnsi="Browallia New" w:cs="Browallia New"/>
          <w:b/>
          <w:i/>
          <w:color w:val="0070C0"/>
          <w:sz w:val="28"/>
          <w:szCs w:val="28"/>
        </w:rPr>
        <w:t xml:space="preserve"> more robust risk management practices</w:t>
      </w:r>
      <w:r w:rsidR="00815E7B" w:rsidRPr="00775C92">
        <w:rPr>
          <w:rFonts w:ascii="Browallia New" w:hAnsi="Browallia New" w:cs="Browallia New"/>
          <w:b/>
          <w:i/>
          <w:color w:val="0070C0"/>
          <w:sz w:val="28"/>
          <w:szCs w:val="28"/>
        </w:rPr>
        <w:t>.</w:t>
      </w:r>
    </w:p>
    <w:p w14:paraId="003D04D8" w14:textId="77777777" w:rsidR="00CF39C1" w:rsidRPr="00775C92" w:rsidRDefault="00CF39C1" w:rsidP="00CF39C1">
      <w:pPr>
        <w:pStyle w:val="ListParagraph"/>
        <w:numPr>
          <w:ilvl w:val="0"/>
          <w:numId w:val="36"/>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 xml:space="preserve">Unfortunately for some organizations, </w:t>
      </w:r>
      <w:r w:rsidR="00492BED">
        <w:rPr>
          <w:rFonts w:ascii="Browallia New" w:hAnsi="Browallia New" w:cs="Browallia New"/>
          <w:b/>
          <w:i/>
          <w:color w:val="0070C0"/>
          <w:sz w:val="28"/>
          <w:szCs w:val="28"/>
        </w:rPr>
        <w:t xml:space="preserve">it takes the occurrence of an </w:t>
      </w:r>
      <w:r w:rsidRPr="00775C92">
        <w:rPr>
          <w:rFonts w:ascii="Browallia New" w:hAnsi="Browallia New" w:cs="Browallia New"/>
          <w:b/>
          <w:i/>
          <w:color w:val="0070C0"/>
          <w:sz w:val="28"/>
          <w:szCs w:val="28"/>
        </w:rPr>
        <w:t xml:space="preserve">unexpected risk event </w:t>
      </w:r>
      <w:r w:rsidR="00492BED">
        <w:rPr>
          <w:rFonts w:ascii="Browallia New" w:hAnsi="Browallia New" w:cs="Browallia New"/>
          <w:b/>
          <w:i/>
          <w:color w:val="0070C0"/>
          <w:sz w:val="28"/>
          <w:szCs w:val="28"/>
        </w:rPr>
        <w:t>to</w:t>
      </w:r>
      <w:r w:rsidRPr="00775C92">
        <w:rPr>
          <w:rFonts w:ascii="Browallia New" w:hAnsi="Browallia New" w:cs="Browallia New"/>
          <w:b/>
          <w:i/>
          <w:color w:val="0070C0"/>
          <w:sz w:val="28"/>
          <w:szCs w:val="28"/>
        </w:rPr>
        <w:t xml:space="preserve"> prompt management to </w:t>
      </w:r>
      <w:r w:rsidR="00492BED">
        <w:rPr>
          <w:rFonts w:ascii="Browallia New" w:hAnsi="Browallia New" w:cs="Browallia New"/>
          <w:b/>
          <w:i/>
          <w:color w:val="0070C0"/>
          <w:sz w:val="28"/>
          <w:szCs w:val="28"/>
        </w:rPr>
        <w:t xml:space="preserve">subsequently </w:t>
      </w:r>
      <w:r w:rsidRPr="00775C92">
        <w:rPr>
          <w:rFonts w:ascii="Browallia New" w:hAnsi="Browallia New" w:cs="Browallia New"/>
          <w:b/>
          <w:i/>
          <w:color w:val="0070C0"/>
          <w:sz w:val="28"/>
          <w:szCs w:val="28"/>
        </w:rPr>
        <w:t>invest more in risk management</w:t>
      </w:r>
      <w:r w:rsidR="00815E7B" w:rsidRPr="00775C92">
        <w:rPr>
          <w:rFonts w:ascii="Browallia New" w:hAnsi="Browallia New" w:cs="Browallia New"/>
          <w:b/>
          <w:i/>
          <w:color w:val="0070C0"/>
          <w:sz w:val="28"/>
          <w:szCs w:val="28"/>
        </w:rPr>
        <w:t>.</w:t>
      </w:r>
    </w:p>
    <w:p w14:paraId="3FEF8C3D" w14:textId="77777777" w:rsidR="004F14EC" w:rsidRDefault="004F14EC" w:rsidP="007C4725">
      <w:pPr>
        <w:spacing w:line="204" w:lineRule="auto"/>
        <w:jc w:val="both"/>
        <w:rPr>
          <w:rFonts w:ascii="Browallia New" w:hAnsi="Browallia New" w:cs="Browallia New"/>
          <w:sz w:val="28"/>
          <w:szCs w:val="28"/>
        </w:rPr>
      </w:pPr>
      <w:r w:rsidRPr="007C4725">
        <w:rPr>
          <w:rFonts w:ascii="Browallia New" w:hAnsi="Browallia New" w:cs="Browallia New"/>
          <w:sz w:val="28"/>
          <w:szCs w:val="28"/>
        </w:rPr>
        <w:t xml:space="preserve">Our survey results indicate that board of </w:t>
      </w:r>
      <w:proofErr w:type="gramStart"/>
      <w:r w:rsidRPr="007C4725">
        <w:rPr>
          <w:rFonts w:ascii="Browallia New" w:hAnsi="Browallia New" w:cs="Browallia New"/>
          <w:sz w:val="28"/>
          <w:szCs w:val="28"/>
        </w:rPr>
        <w:t>director</w:t>
      </w:r>
      <w:proofErr w:type="gramEnd"/>
      <w:r w:rsidRPr="007C4725">
        <w:rPr>
          <w:rFonts w:ascii="Browallia New" w:hAnsi="Browallia New" w:cs="Browallia New"/>
          <w:sz w:val="28"/>
          <w:szCs w:val="28"/>
        </w:rPr>
        <w:t xml:space="preserve"> expectations for improving risk oversight in these organizations </w:t>
      </w:r>
      <w:proofErr w:type="gramStart"/>
      <w:r w:rsidRPr="007C4725">
        <w:rPr>
          <w:rFonts w:ascii="Browallia New" w:hAnsi="Browallia New" w:cs="Browallia New"/>
          <w:sz w:val="28"/>
          <w:szCs w:val="28"/>
        </w:rPr>
        <w:t>is</w:t>
      </w:r>
      <w:proofErr w:type="gramEnd"/>
      <w:r w:rsidRPr="007C4725">
        <w:rPr>
          <w:rFonts w:ascii="Browallia New" w:hAnsi="Browallia New" w:cs="Browallia New"/>
          <w:sz w:val="28"/>
          <w:szCs w:val="28"/>
        </w:rPr>
        <w:t xml:space="preserve"> strong, especially for the largest organizations, public companies, and financial services entities. Respondents noted that for 14% of the organizations surveyed, the board of directors is asking senior executives to increase their involvement in risk oversight “extensively,” another 27% of the organizations report “mostly,” and an additional 27% have boards that are asking for increased oversight “somewhat.” </w:t>
      </w:r>
    </w:p>
    <w:p w14:paraId="4959E948" w14:textId="7B4FD824" w:rsidR="001D4825" w:rsidRPr="00751104" w:rsidRDefault="00284CE3" w:rsidP="007C4725">
      <w:pPr>
        <w:spacing w:line="204" w:lineRule="auto"/>
        <w:jc w:val="both"/>
        <w:rPr>
          <w:rStyle w:val="IntenseReference"/>
          <w:color w:val="auto"/>
        </w:rPr>
      </w:pPr>
      <w:r w:rsidRPr="00751104">
        <w:rPr>
          <w:rStyle w:val="IntenseReference"/>
          <w:color w:val="auto"/>
        </w:rPr>
        <w:t>PERCENTAGE OF RESPONDENTS</w:t>
      </w:r>
    </w:p>
    <w:tbl>
      <w:tblPr>
        <w:tblStyle w:val="ListTable3-Accent31"/>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813"/>
        <w:gridCol w:w="1702"/>
        <w:gridCol w:w="1440"/>
        <w:gridCol w:w="1170"/>
        <w:gridCol w:w="1677"/>
      </w:tblGrid>
      <w:tr w:rsidR="004F14EC" w:rsidRPr="00F46D57" w14:paraId="4F65CFB1" w14:textId="77777777" w:rsidTr="00284CE3">
        <w:trPr>
          <w:cnfStyle w:val="100000000000" w:firstRow="1" w:lastRow="0" w:firstColumn="0" w:lastColumn="0" w:oddVBand="0" w:evenVBand="0" w:oddHBand="0" w:evenHBand="0" w:firstRowFirstColumn="0" w:firstRowLastColumn="0" w:lastRowFirstColumn="0" w:lastRowLastColumn="0"/>
          <w:trHeight w:val="881"/>
        </w:trPr>
        <w:tc>
          <w:tcPr>
            <w:cnfStyle w:val="001000000100" w:firstRow="0" w:lastRow="0" w:firstColumn="1" w:lastColumn="0" w:oddVBand="0" w:evenVBand="0" w:oddHBand="0" w:evenHBand="0" w:firstRowFirstColumn="1" w:firstRowLastColumn="0" w:lastRowFirstColumn="0" w:lastRowLastColumn="0"/>
            <w:tcW w:w="2970" w:type="dxa"/>
            <w:tcBorders>
              <w:bottom w:val="none" w:sz="0" w:space="0" w:color="auto"/>
              <w:right w:val="none" w:sz="0" w:space="0" w:color="auto"/>
            </w:tcBorders>
            <w:shd w:val="clear" w:color="auto" w:fill="A6A6A6" w:themeFill="background1" w:themeFillShade="A6"/>
          </w:tcPr>
          <w:p w14:paraId="2BBEC91E" w14:textId="77777777" w:rsidR="004F14EC" w:rsidRPr="003B1178" w:rsidRDefault="004F14EC" w:rsidP="00E12ABA">
            <w:pPr>
              <w:spacing w:line="204" w:lineRule="auto"/>
              <w:rPr>
                <w:rFonts w:ascii="Browallia New" w:hAnsi="Browallia New" w:cs="Browallia New"/>
                <w:color w:val="auto"/>
              </w:rPr>
            </w:pPr>
            <w:r w:rsidRPr="003B1178">
              <w:rPr>
                <w:rFonts w:ascii="Browallia New" w:hAnsi="Browallia New" w:cs="Browallia New"/>
                <w:color w:val="auto"/>
              </w:rPr>
              <w:t xml:space="preserve">Extent to which the board of directors is asking for increased senior executive </w:t>
            </w:r>
            <w:r w:rsidRPr="003B1178">
              <w:rPr>
                <w:rFonts w:ascii="Browallia New" w:hAnsi="Browallia New" w:cs="Browallia New"/>
                <w:color w:val="auto"/>
                <w:u w:val="single"/>
              </w:rPr>
              <w:t>involvement in risk oversight</w:t>
            </w:r>
          </w:p>
        </w:tc>
        <w:tc>
          <w:tcPr>
            <w:tcW w:w="813" w:type="dxa"/>
            <w:shd w:val="clear" w:color="auto" w:fill="A6A6A6" w:themeFill="background1" w:themeFillShade="A6"/>
          </w:tcPr>
          <w:p w14:paraId="513650D9"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2BC88394"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466C8A1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702" w:type="dxa"/>
            <w:shd w:val="clear" w:color="auto" w:fill="A6A6A6" w:themeFill="background1" w:themeFillShade="A6"/>
          </w:tcPr>
          <w:p w14:paraId="4CF9D56A"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Largest Organizations</w:t>
            </w:r>
          </w:p>
          <w:p w14:paraId="277D2D88"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(Revenues &gt;$1B)</w:t>
            </w:r>
          </w:p>
        </w:tc>
        <w:tc>
          <w:tcPr>
            <w:tcW w:w="1440" w:type="dxa"/>
            <w:shd w:val="clear" w:color="auto" w:fill="A6A6A6" w:themeFill="background1" w:themeFillShade="A6"/>
          </w:tcPr>
          <w:p w14:paraId="0848951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38BA522"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170" w:type="dxa"/>
            <w:shd w:val="clear" w:color="auto" w:fill="A6A6A6" w:themeFill="background1" w:themeFillShade="A6"/>
          </w:tcPr>
          <w:p w14:paraId="7F4B0222"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7B9DCB0F"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6F83F04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677" w:type="dxa"/>
            <w:shd w:val="clear" w:color="auto" w:fill="A6A6A6" w:themeFill="background1" w:themeFillShade="A6"/>
          </w:tcPr>
          <w:p w14:paraId="33A5373F"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4453DEE"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4F14EC" w:rsidRPr="00F46D57" w14:paraId="79D128EE" w14:textId="77777777" w:rsidTr="00284CE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bottom w:val="none" w:sz="0" w:space="0" w:color="auto"/>
              <w:right w:val="none" w:sz="0" w:space="0" w:color="auto"/>
            </w:tcBorders>
          </w:tcPr>
          <w:p w14:paraId="0FDD994A" w14:textId="77777777" w:rsidR="004F14EC" w:rsidRPr="003B1178" w:rsidRDefault="004F14EC" w:rsidP="00E12ABA">
            <w:pPr>
              <w:spacing w:line="204" w:lineRule="auto"/>
              <w:rPr>
                <w:rFonts w:ascii="Browallia New" w:hAnsi="Browallia New" w:cs="Browallia New"/>
              </w:rPr>
            </w:pPr>
          </w:p>
          <w:p w14:paraId="434E5325" w14:textId="77777777" w:rsidR="004F14EC" w:rsidRPr="003B1178" w:rsidRDefault="004F14EC" w:rsidP="00E12ABA">
            <w:pPr>
              <w:spacing w:line="204" w:lineRule="auto"/>
              <w:rPr>
                <w:rFonts w:ascii="Browallia New" w:hAnsi="Browallia New" w:cs="Browallia New"/>
              </w:rPr>
            </w:pPr>
            <w:r w:rsidRPr="003B1178">
              <w:rPr>
                <w:rFonts w:ascii="Browallia New" w:hAnsi="Browallia New" w:cs="Browallia New"/>
              </w:rPr>
              <w:t>“Extensively”</w:t>
            </w:r>
          </w:p>
        </w:tc>
        <w:tc>
          <w:tcPr>
            <w:tcW w:w="813" w:type="dxa"/>
            <w:tcBorders>
              <w:top w:val="none" w:sz="0" w:space="0" w:color="auto"/>
              <w:bottom w:val="none" w:sz="0" w:space="0" w:color="auto"/>
            </w:tcBorders>
            <w:shd w:val="clear" w:color="auto" w:fill="FFFFFF" w:themeFill="background1"/>
          </w:tcPr>
          <w:p w14:paraId="2ED8932D"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592EBEE"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14%</w:t>
            </w:r>
          </w:p>
        </w:tc>
        <w:tc>
          <w:tcPr>
            <w:tcW w:w="1702" w:type="dxa"/>
            <w:tcBorders>
              <w:top w:val="none" w:sz="0" w:space="0" w:color="auto"/>
              <w:bottom w:val="none" w:sz="0" w:space="0" w:color="auto"/>
            </w:tcBorders>
            <w:shd w:val="clear" w:color="auto" w:fill="FFFFFF" w:themeFill="background1"/>
          </w:tcPr>
          <w:p w14:paraId="3071E759"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1CC50BAA"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17%</w:t>
            </w:r>
          </w:p>
        </w:tc>
        <w:tc>
          <w:tcPr>
            <w:tcW w:w="1440" w:type="dxa"/>
            <w:tcBorders>
              <w:top w:val="none" w:sz="0" w:space="0" w:color="auto"/>
              <w:bottom w:val="none" w:sz="0" w:space="0" w:color="auto"/>
            </w:tcBorders>
            <w:shd w:val="clear" w:color="auto" w:fill="FFFFFF" w:themeFill="background1"/>
          </w:tcPr>
          <w:p w14:paraId="4E5D336D"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88ABF0D"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22%</w:t>
            </w:r>
          </w:p>
        </w:tc>
        <w:tc>
          <w:tcPr>
            <w:tcW w:w="1170" w:type="dxa"/>
            <w:tcBorders>
              <w:top w:val="none" w:sz="0" w:space="0" w:color="auto"/>
              <w:bottom w:val="none" w:sz="0" w:space="0" w:color="auto"/>
            </w:tcBorders>
            <w:shd w:val="clear" w:color="auto" w:fill="FFFFFF" w:themeFill="background1"/>
          </w:tcPr>
          <w:p w14:paraId="2DD0497D"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AA00C3D"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16%</w:t>
            </w:r>
          </w:p>
        </w:tc>
        <w:tc>
          <w:tcPr>
            <w:tcW w:w="1677" w:type="dxa"/>
            <w:tcBorders>
              <w:top w:val="none" w:sz="0" w:space="0" w:color="auto"/>
              <w:bottom w:val="none" w:sz="0" w:space="0" w:color="auto"/>
            </w:tcBorders>
            <w:shd w:val="clear" w:color="auto" w:fill="FFFFFF" w:themeFill="background1"/>
          </w:tcPr>
          <w:p w14:paraId="5902531B"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93B0F92"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9%</w:t>
            </w:r>
          </w:p>
        </w:tc>
      </w:tr>
      <w:tr w:rsidR="004F14EC" w:rsidRPr="00F46D57" w14:paraId="04B6CAF1" w14:textId="77777777" w:rsidTr="00284CE3">
        <w:trPr>
          <w:trHeight w:val="252"/>
        </w:trPr>
        <w:tc>
          <w:tcPr>
            <w:cnfStyle w:val="001000000000" w:firstRow="0" w:lastRow="0" w:firstColumn="1" w:lastColumn="0" w:oddVBand="0" w:evenVBand="0" w:oddHBand="0" w:evenHBand="0" w:firstRowFirstColumn="0" w:firstRowLastColumn="0" w:lastRowFirstColumn="0" w:lastRowLastColumn="0"/>
            <w:tcW w:w="2970" w:type="dxa"/>
            <w:tcBorders>
              <w:right w:val="none" w:sz="0" w:space="0" w:color="auto"/>
            </w:tcBorders>
          </w:tcPr>
          <w:p w14:paraId="681C2AF2" w14:textId="77777777" w:rsidR="004F14EC" w:rsidRPr="003B1178" w:rsidRDefault="004F14EC" w:rsidP="00E12ABA">
            <w:pPr>
              <w:spacing w:line="204" w:lineRule="auto"/>
              <w:rPr>
                <w:rFonts w:ascii="Browallia New" w:hAnsi="Browallia New" w:cs="Browallia New"/>
              </w:rPr>
            </w:pPr>
            <w:r w:rsidRPr="003B1178">
              <w:rPr>
                <w:rFonts w:ascii="Browallia New" w:hAnsi="Browallia New" w:cs="Browallia New"/>
              </w:rPr>
              <w:t>“Mostly”</w:t>
            </w:r>
          </w:p>
        </w:tc>
        <w:tc>
          <w:tcPr>
            <w:tcW w:w="813" w:type="dxa"/>
            <w:shd w:val="clear" w:color="auto" w:fill="FFFFFF" w:themeFill="background1"/>
          </w:tcPr>
          <w:p w14:paraId="1BA862C1"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27%</w:t>
            </w:r>
          </w:p>
        </w:tc>
        <w:tc>
          <w:tcPr>
            <w:tcW w:w="1702" w:type="dxa"/>
            <w:shd w:val="clear" w:color="auto" w:fill="FFFFFF" w:themeFill="background1"/>
          </w:tcPr>
          <w:p w14:paraId="25E13B9D"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c>
          <w:tcPr>
            <w:tcW w:w="1440" w:type="dxa"/>
            <w:shd w:val="clear" w:color="auto" w:fill="FFFFFF" w:themeFill="background1"/>
          </w:tcPr>
          <w:p w14:paraId="4CB8C409"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33%</w:t>
            </w:r>
          </w:p>
        </w:tc>
        <w:tc>
          <w:tcPr>
            <w:tcW w:w="1170" w:type="dxa"/>
            <w:shd w:val="clear" w:color="auto" w:fill="FFFFFF" w:themeFill="background1"/>
          </w:tcPr>
          <w:p w14:paraId="67456A7A"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c>
          <w:tcPr>
            <w:tcW w:w="1677" w:type="dxa"/>
            <w:shd w:val="clear" w:color="auto" w:fill="FFFFFF" w:themeFill="background1"/>
          </w:tcPr>
          <w:p w14:paraId="6D12C906" w14:textId="77777777" w:rsidR="004F14EC" w:rsidRPr="003B1178" w:rsidRDefault="004F14EC" w:rsidP="006211B9">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r>
      <w:tr w:rsidR="004F14EC" w:rsidRPr="00F46D57" w14:paraId="207C6DCA" w14:textId="77777777" w:rsidTr="00284CE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bottom w:val="none" w:sz="0" w:space="0" w:color="auto"/>
              <w:right w:val="none" w:sz="0" w:space="0" w:color="auto"/>
            </w:tcBorders>
          </w:tcPr>
          <w:p w14:paraId="7394386B" w14:textId="77777777" w:rsidR="004F14EC" w:rsidRPr="003B1178" w:rsidRDefault="004F14EC" w:rsidP="00E12ABA">
            <w:pPr>
              <w:spacing w:line="204" w:lineRule="auto"/>
              <w:rPr>
                <w:rFonts w:ascii="Browallia New" w:hAnsi="Browallia New" w:cs="Browallia New"/>
              </w:rPr>
            </w:pPr>
            <w:r w:rsidRPr="003B1178">
              <w:rPr>
                <w:rFonts w:ascii="Browallia New" w:hAnsi="Browallia New" w:cs="Browallia New"/>
              </w:rPr>
              <w:t>“Somewhat”</w:t>
            </w:r>
          </w:p>
        </w:tc>
        <w:tc>
          <w:tcPr>
            <w:tcW w:w="813" w:type="dxa"/>
            <w:tcBorders>
              <w:top w:val="none" w:sz="0" w:space="0" w:color="auto"/>
              <w:bottom w:val="none" w:sz="0" w:space="0" w:color="auto"/>
            </w:tcBorders>
            <w:shd w:val="clear" w:color="auto" w:fill="FFFFFF" w:themeFill="background1"/>
          </w:tcPr>
          <w:p w14:paraId="18455BE8"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27%</w:t>
            </w:r>
          </w:p>
        </w:tc>
        <w:tc>
          <w:tcPr>
            <w:tcW w:w="1702" w:type="dxa"/>
            <w:tcBorders>
              <w:top w:val="none" w:sz="0" w:space="0" w:color="auto"/>
              <w:bottom w:val="none" w:sz="0" w:space="0" w:color="auto"/>
            </w:tcBorders>
            <w:shd w:val="clear" w:color="auto" w:fill="FFFFFF" w:themeFill="background1"/>
          </w:tcPr>
          <w:p w14:paraId="37E390A6"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28%</w:t>
            </w:r>
          </w:p>
        </w:tc>
        <w:tc>
          <w:tcPr>
            <w:tcW w:w="1440" w:type="dxa"/>
            <w:tcBorders>
              <w:top w:val="none" w:sz="0" w:space="0" w:color="auto"/>
              <w:bottom w:val="none" w:sz="0" w:space="0" w:color="auto"/>
            </w:tcBorders>
            <w:shd w:val="clear" w:color="auto" w:fill="FFFFFF" w:themeFill="background1"/>
          </w:tcPr>
          <w:p w14:paraId="30310114"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29%</w:t>
            </w:r>
          </w:p>
        </w:tc>
        <w:tc>
          <w:tcPr>
            <w:tcW w:w="1170" w:type="dxa"/>
            <w:tcBorders>
              <w:top w:val="none" w:sz="0" w:space="0" w:color="auto"/>
              <w:bottom w:val="none" w:sz="0" w:space="0" w:color="auto"/>
            </w:tcBorders>
            <w:shd w:val="clear" w:color="auto" w:fill="FFFFFF" w:themeFill="background1"/>
          </w:tcPr>
          <w:p w14:paraId="63032EC3"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28%</w:t>
            </w:r>
          </w:p>
        </w:tc>
        <w:tc>
          <w:tcPr>
            <w:tcW w:w="1677" w:type="dxa"/>
            <w:tcBorders>
              <w:top w:val="none" w:sz="0" w:space="0" w:color="auto"/>
              <w:bottom w:val="none" w:sz="0" w:space="0" w:color="auto"/>
            </w:tcBorders>
            <w:shd w:val="clear" w:color="auto" w:fill="FFFFFF" w:themeFill="background1"/>
          </w:tcPr>
          <w:p w14:paraId="0C25C828"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27%</w:t>
            </w:r>
          </w:p>
        </w:tc>
      </w:tr>
      <w:tr w:rsidR="004F14EC" w:rsidRPr="00F46D57" w14:paraId="1F1A4103" w14:textId="77777777" w:rsidTr="00284CE3">
        <w:trPr>
          <w:trHeight w:val="307"/>
        </w:trPr>
        <w:tc>
          <w:tcPr>
            <w:cnfStyle w:val="001000000000" w:firstRow="0" w:lastRow="0" w:firstColumn="1" w:lastColumn="0" w:oddVBand="0" w:evenVBand="0" w:oddHBand="0" w:evenHBand="0" w:firstRowFirstColumn="0" w:firstRowLastColumn="0" w:lastRowFirstColumn="0" w:lastRowLastColumn="0"/>
            <w:tcW w:w="2970" w:type="dxa"/>
            <w:tcBorders>
              <w:right w:val="none" w:sz="0" w:space="0" w:color="auto"/>
            </w:tcBorders>
          </w:tcPr>
          <w:p w14:paraId="608CAE41" w14:textId="77777777" w:rsidR="004F14EC" w:rsidRPr="003B1178" w:rsidRDefault="006211B9" w:rsidP="00E12ABA">
            <w:pPr>
              <w:spacing w:line="204" w:lineRule="auto"/>
              <w:rPr>
                <w:rFonts w:ascii="Browallia New" w:hAnsi="Browallia New" w:cs="Browallia New"/>
              </w:rPr>
            </w:pPr>
            <w:r w:rsidRPr="003B1178">
              <w:rPr>
                <w:rFonts w:ascii="Browallia New" w:hAnsi="Browallia New" w:cs="Browallia New"/>
              </w:rPr>
              <w:t xml:space="preserve">         </w:t>
            </w:r>
            <w:r w:rsidR="004F14EC" w:rsidRPr="003B1178">
              <w:rPr>
                <w:rFonts w:ascii="Browallia New" w:hAnsi="Browallia New" w:cs="Browallia New"/>
              </w:rPr>
              <w:t>Combined</w:t>
            </w:r>
          </w:p>
        </w:tc>
        <w:tc>
          <w:tcPr>
            <w:tcW w:w="813" w:type="dxa"/>
            <w:shd w:val="clear" w:color="auto" w:fill="FFFFFF" w:themeFill="background1"/>
          </w:tcPr>
          <w:p w14:paraId="1005E595"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68%</w:t>
            </w:r>
          </w:p>
        </w:tc>
        <w:tc>
          <w:tcPr>
            <w:tcW w:w="1702" w:type="dxa"/>
            <w:shd w:val="clear" w:color="auto" w:fill="FFFFFF" w:themeFill="background1"/>
          </w:tcPr>
          <w:p w14:paraId="4D45432B"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82%</w:t>
            </w:r>
          </w:p>
        </w:tc>
        <w:tc>
          <w:tcPr>
            <w:tcW w:w="1440" w:type="dxa"/>
            <w:shd w:val="clear" w:color="auto" w:fill="FFFFFF" w:themeFill="background1"/>
          </w:tcPr>
          <w:p w14:paraId="752EB1BE"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84%</w:t>
            </w:r>
          </w:p>
        </w:tc>
        <w:tc>
          <w:tcPr>
            <w:tcW w:w="1170" w:type="dxa"/>
            <w:shd w:val="clear" w:color="auto" w:fill="FFFFFF" w:themeFill="background1"/>
          </w:tcPr>
          <w:p w14:paraId="1B65C029"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75%</w:t>
            </w:r>
          </w:p>
        </w:tc>
        <w:tc>
          <w:tcPr>
            <w:tcW w:w="1677" w:type="dxa"/>
            <w:shd w:val="clear" w:color="auto" w:fill="FFFFFF" w:themeFill="background1"/>
          </w:tcPr>
          <w:p w14:paraId="29899B5E"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67%</w:t>
            </w:r>
          </w:p>
        </w:tc>
      </w:tr>
    </w:tbl>
    <w:p w14:paraId="4D3CDE17" w14:textId="77777777" w:rsidR="004F14EC" w:rsidRPr="00F46D57" w:rsidRDefault="004F14EC" w:rsidP="004F14EC">
      <w:pPr>
        <w:spacing w:line="204" w:lineRule="auto"/>
        <w:jc w:val="both"/>
        <w:rPr>
          <w:rFonts w:ascii="Browallia New" w:hAnsi="Browallia New" w:cs="Browallia New"/>
        </w:rPr>
      </w:pPr>
    </w:p>
    <w:p w14:paraId="3320F591" w14:textId="77777777" w:rsidR="004F14EC" w:rsidRPr="007C4725" w:rsidRDefault="00536042" w:rsidP="007C4725">
      <w:pPr>
        <w:spacing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53472" behindDoc="0" locked="0" layoutInCell="0" allowOverlap="1" wp14:anchorId="5E725A7C" wp14:editId="6406289A">
                <wp:simplePos x="0" y="0"/>
                <wp:positionH relativeFrom="margin">
                  <wp:posOffset>-22860</wp:posOffset>
                </wp:positionH>
                <wp:positionV relativeFrom="margin">
                  <wp:posOffset>5173980</wp:posOffset>
                </wp:positionV>
                <wp:extent cx="1927860" cy="883920"/>
                <wp:effectExtent l="19050" t="19050" r="15240" b="11430"/>
                <wp:wrapSquare wrapText="bothSides"/>
                <wp:docPr id="1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88392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52226E53" w14:textId="77777777" w:rsidR="00206200" w:rsidRPr="003B1178" w:rsidRDefault="00206200" w:rsidP="006211B9">
                            <w:pPr>
                              <w:shd w:val="clear" w:color="auto" w:fill="C48B01" w:themeFill="accent2" w:themeFillShade="BF"/>
                              <w:spacing w:after="0"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Most executives note there is “somewhat” to “extensive” external pressure to provide more information about risks.</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725A7C" id="AutoShape 108" o:spid="_x0000_s1028" style="position:absolute;left:0;text-align:left;margin-left:-1.8pt;margin-top:407.4pt;width:151.8pt;height:69.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" o:allowincell="f" fillcolor="#c48b01 [2405]" strokecolor="#1a6da6" strokeweight="3pt">
                <v:textbox inset="3.6pt,,3.6pt">
                  <w:txbxContent>
                    <w:p w14:paraId="52226E53" w14:textId="77777777" w:rsidR="00206200" w:rsidRPr="003B1178" w:rsidRDefault="00206200" w:rsidP="006211B9">
                      <w:pPr>
                        <w:shd w:val="clear" w:color="auto" w:fill="C48B01" w:themeFill="accent2" w:themeFillShade="BF"/>
                        <w:spacing w:after="0"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Most executives note there is “somewhat” to “extensive” external pressure to provide more information about risks.</w:t>
                      </w:r>
                    </w:p>
                  </w:txbxContent>
                </v:textbox>
                <w10:wrap type="square" anchorx="margin" anchory="margin"/>
              </v:roundrect>
            </w:pict>
          </mc:Fallback>
        </mc:AlternateContent>
      </w:r>
      <w:r w:rsidR="004F14EC" w:rsidRPr="007C4725">
        <w:rPr>
          <w:rFonts w:ascii="Browallia New" w:hAnsi="Browallia New" w:cs="Browallia New"/>
          <w:sz w:val="28"/>
          <w:szCs w:val="28"/>
        </w:rPr>
        <w:t xml:space="preserve">Board expectations for increased senior executive involvement in risk oversight </w:t>
      </w:r>
      <w:proofErr w:type="gramStart"/>
      <w:r w:rsidR="004F14EC" w:rsidRPr="007C4725">
        <w:rPr>
          <w:rFonts w:ascii="Browallia New" w:hAnsi="Browallia New" w:cs="Browallia New"/>
          <w:sz w:val="28"/>
          <w:szCs w:val="28"/>
        </w:rPr>
        <w:t>is</w:t>
      </w:r>
      <w:proofErr w:type="gramEnd"/>
      <w:r w:rsidR="004F14EC" w:rsidRPr="007C4725">
        <w:rPr>
          <w:rFonts w:ascii="Browallia New" w:hAnsi="Browallia New" w:cs="Browallia New"/>
          <w:sz w:val="28"/>
          <w:szCs w:val="28"/>
        </w:rPr>
        <w:t xml:space="preserve"> most dramatic for the largest organizations, public companies, and financial services organizations, as shown in the table above. Interestingly, requests from the board of directors for increased risk oversight are high for not-for-profit organizations, too. And, as illustrated by the chart on the next page, the board’s level of interest in more senior executive engagement in risk management has been holding st</w:t>
      </w:r>
      <w:r w:rsidR="00CF39C1">
        <w:rPr>
          <w:rFonts w:ascii="Browallia New" w:hAnsi="Browallia New" w:cs="Browallia New"/>
          <w:sz w:val="28"/>
          <w:szCs w:val="28"/>
        </w:rPr>
        <w:t xml:space="preserve">rong for the past </w:t>
      </w:r>
      <w:r w:rsidR="00492BED">
        <w:rPr>
          <w:rFonts w:ascii="Browallia New" w:hAnsi="Browallia New" w:cs="Browallia New"/>
          <w:sz w:val="28"/>
          <w:szCs w:val="28"/>
        </w:rPr>
        <w:t>four</w:t>
      </w:r>
      <w:r w:rsidR="00CF39C1">
        <w:rPr>
          <w:rFonts w:ascii="Browallia New" w:hAnsi="Browallia New" w:cs="Browallia New"/>
          <w:sz w:val="28"/>
          <w:szCs w:val="28"/>
        </w:rPr>
        <w:t xml:space="preserve"> years. </w:t>
      </w:r>
      <w:r w:rsidR="004F14EC" w:rsidRPr="007C4725">
        <w:rPr>
          <w:rFonts w:ascii="Browallia New" w:hAnsi="Browallia New" w:cs="Browallia New"/>
          <w:sz w:val="28"/>
          <w:szCs w:val="28"/>
        </w:rPr>
        <w:t>This suggests that effective risk management is a priority among boards for management to consider.</w:t>
      </w:r>
    </w:p>
    <w:p w14:paraId="12799405" w14:textId="77777777" w:rsidR="004F14EC" w:rsidRPr="00F46D57" w:rsidRDefault="004F14EC" w:rsidP="00E24AB1">
      <w:pPr>
        <w:jc w:val="center"/>
        <w:rPr>
          <w:rFonts w:ascii="Browallia New" w:hAnsi="Browallia New" w:cs="Browallia New"/>
        </w:rPr>
      </w:pPr>
      <w:r w:rsidRPr="00F46D57">
        <w:rPr>
          <w:rFonts w:ascii="Browallia New" w:hAnsi="Browallia New" w:cs="Browallia New"/>
          <w:noProof/>
          <w:highlight w:val="yellow"/>
        </w:rPr>
        <w:lastRenderedPageBreak/>
        <w:drawing>
          <wp:inline distT="0" distB="0" distL="0" distR="0" wp14:anchorId="5B5088D1" wp14:editId="50EC81A8">
            <wp:extent cx="5486400" cy="3200400"/>
            <wp:effectExtent l="0" t="0" r="0" b="0"/>
            <wp:docPr id="135" name="Chart 135" descr="Bar chart of organizations with extent to which boards are asking for more senior executive involvement in risk management somewhat, mostly, or extensively from 2014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303D36" w14:textId="77777777" w:rsidR="004F14EC" w:rsidRPr="007C4725" w:rsidRDefault="004F14EC" w:rsidP="007C4725">
      <w:pPr>
        <w:spacing w:line="204" w:lineRule="auto"/>
        <w:jc w:val="both"/>
        <w:rPr>
          <w:rFonts w:ascii="Browallia New" w:hAnsi="Browallia New" w:cs="Browallia New"/>
          <w:sz w:val="28"/>
          <w:szCs w:val="28"/>
        </w:rPr>
      </w:pPr>
      <w:r w:rsidRPr="007C4725">
        <w:rPr>
          <w:rFonts w:ascii="Browallia New" w:hAnsi="Browallia New" w:cs="Browallia New"/>
          <w:sz w:val="28"/>
          <w:szCs w:val="28"/>
        </w:rPr>
        <w:t xml:space="preserve">These expectations are possibly being prompted by increasing external pressures that continue to be placed on </w:t>
      </w:r>
      <w:proofErr w:type="gramStart"/>
      <w:r w:rsidRPr="007C4725">
        <w:rPr>
          <w:rFonts w:ascii="Browallia New" w:hAnsi="Browallia New" w:cs="Browallia New"/>
          <w:sz w:val="28"/>
          <w:szCs w:val="28"/>
        </w:rPr>
        <w:t>boards</w:t>
      </w:r>
      <w:proofErr w:type="gramEnd"/>
      <w:r w:rsidRPr="007C4725">
        <w:rPr>
          <w:rFonts w:ascii="Browallia New" w:hAnsi="Browallia New" w:cs="Browallia New"/>
          <w:sz w:val="28"/>
          <w:szCs w:val="28"/>
        </w:rPr>
        <w:t xml:space="preserve">. In response to these expectations, boards and audit committees may be challenging senior executives about existing approaches to risk oversight and demanding more information about the organization’s top risk exposures.  </w:t>
      </w:r>
    </w:p>
    <w:p w14:paraId="1EA91FB4" w14:textId="77777777" w:rsidR="004F14EC" w:rsidRPr="007C4725" w:rsidRDefault="00DB48ED" w:rsidP="007C4725">
      <w:pPr>
        <w:spacing w:line="204" w:lineRule="auto"/>
        <w:jc w:val="both"/>
        <w:rPr>
          <w:rFonts w:ascii="Browallia New" w:hAnsi="Browallia New" w:cs="Browallia New"/>
          <w:sz w:val="28"/>
          <w:szCs w:val="28"/>
        </w:rPr>
      </w:pPr>
      <w:r>
        <w:rPr>
          <w:rFonts w:ascii="Browallia New" w:hAnsi="Browallia New" w:cs="Browallia New"/>
          <w:sz w:val="28"/>
          <w:szCs w:val="28"/>
        </w:rPr>
        <w:t>T</w:t>
      </w:r>
      <w:r w:rsidR="004F14EC" w:rsidRPr="007C4725">
        <w:rPr>
          <w:rFonts w:ascii="Browallia New" w:hAnsi="Browallia New" w:cs="Browallia New"/>
          <w:sz w:val="28"/>
          <w:szCs w:val="28"/>
        </w:rPr>
        <w:t>he board’s interest in strengthened risk oversight</w:t>
      </w:r>
      <w:r>
        <w:rPr>
          <w:rFonts w:ascii="Browallia New" w:hAnsi="Browallia New" w:cs="Browallia New"/>
          <w:sz w:val="28"/>
          <w:szCs w:val="28"/>
        </w:rPr>
        <w:t xml:space="preserve"> may explain why</w:t>
      </w:r>
      <w:r w:rsidR="004F14EC" w:rsidRPr="007C4725">
        <w:rPr>
          <w:rFonts w:ascii="Browallia New" w:hAnsi="Browallia New" w:cs="Browallia New"/>
          <w:sz w:val="28"/>
          <w:szCs w:val="28"/>
        </w:rPr>
        <w:t xml:space="preserve"> the chief executive officer (CEO) is also calling for increased senior executive involvement in risk oversight. Almost half (46%) of the respondents indicated that the CEO has asked “mostly” or “extensively” for increased management involvement in risk oversight, which is an increase from the 43% we saw in </w:t>
      </w:r>
      <w:r w:rsidR="00D404E0">
        <w:rPr>
          <w:rFonts w:ascii="Browallia New" w:hAnsi="Browallia New" w:cs="Browallia New"/>
          <w:sz w:val="28"/>
          <w:szCs w:val="28"/>
        </w:rPr>
        <w:t>2016</w:t>
      </w:r>
      <w:r w:rsidR="004F14EC" w:rsidRPr="007C4725">
        <w:rPr>
          <w:rFonts w:ascii="Browallia New" w:hAnsi="Browallia New" w:cs="Browallia New"/>
          <w:sz w:val="28"/>
          <w:szCs w:val="28"/>
        </w:rPr>
        <w:t xml:space="preserve">. An additional 26% of our respondents indicated that the CEO has expressed “somewhat” of a request for increased senior management oversight of risks.  </w:t>
      </w:r>
    </w:p>
    <w:p w14:paraId="5932031F" w14:textId="77777777" w:rsidR="004F14EC" w:rsidRPr="007C4725" w:rsidRDefault="00536042" w:rsidP="007C4725">
      <w:pPr>
        <w:spacing w:line="204" w:lineRule="auto"/>
        <w:jc w:val="both"/>
        <w:rPr>
          <w:rFonts w:ascii="Browallia New" w:hAnsi="Browallia New" w:cs="Browallia New"/>
          <w:sz w:val="28"/>
          <w:szCs w:val="28"/>
        </w:rPr>
      </w:pPr>
      <w:r>
        <w:rPr>
          <w:rFonts w:ascii="Browallia New" w:hAnsi="Browallia New" w:cs="Browallia New"/>
          <w:b/>
          <w:i/>
          <w:iCs/>
          <w:noProof/>
          <w:color w:val="FFFFFF" w:themeColor="background1"/>
          <w:sz w:val="28"/>
          <w:szCs w:val="28"/>
        </w:rPr>
        <mc:AlternateContent>
          <mc:Choice Requires="wps">
            <w:drawing>
              <wp:anchor distT="0" distB="0" distL="114300" distR="114300" simplePos="0" relativeHeight="251754496" behindDoc="0" locked="0" layoutInCell="0" allowOverlap="1" wp14:anchorId="26CA7CEC" wp14:editId="41272407">
                <wp:simplePos x="0" y="0"/>
                <wp:positionH relativeFrom="margin">
                  <wp:posOffset>3266901</wp:posOffset>
                </wp:positionH>
                <wp:positionV relativeFrom="margin">
                  <wp:posOffset>5749637</wp:posOffset>
                </wp:positionV>
                <wp:extent cx="2644140" cy="701040"/>
                <wp:effectExtent l="19050" t="19050" r="22860" b="22860"/>
                <wp:wrapSquare wrapText="bothSides"/>
                <wp:docPr id="1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70104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31F1DCDB" w14:textId="77777777" w:rsidR="00206200" w:rsidRPr="003B1178" w:rsidRDefault="00206200" w:rsidP="004F14EC">
                            <w:pPr>
                              <w:spacing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Corporate governance trends, regulatory demands, and board of directors are all placing pressure on executives to engage more in risk oversight.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CA7CEC" id="Oval 19" o:spid="_x0000_s1029" style="position:absolute;left:0;text-align:left;margin-left:257.25pt;margin-top:452.75pt;width:208.2pt;height:55.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" o:allowincell="f" fillcolor="#c48b01 [2405]" strokecolor="#1a6da6" strokeweight="3pt">
                <v:textbox inset="3.6pt,,3.6pt">
                  <w:txbxContent>
                    <w:p w14:paraId="31F1DCDB" w14:textId="77777777" w:rsidR="00206200" w:rsidRPr="003B1178" w:rsidRDefault="00206200" w:rsidP="004F14EC">
                      <w:pPr>
                        <w:spacing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Corporate governance trends, regulatory demands, and board of directors are all placing pressure on executives to engage more in risk oversight.</w:t>
                      </w:r>
                    </w:p>
                  </w:txbxContent>
                </v:textbox>
                <w10:wrap type="square" anchorx="margin" anchory="margin"/>
              </v:roundrect>
            </w:pict>
          </mc:Fallback>
        </mc:AlternateContent>
      </w:r>
      <w:r w:rsidR="004F14EC" w:rsidRPr="007C4725">
        <w:rPr>
          <w:rFonts w:ascii="Browallia New" w:hAnsi="Browallia New" w:cs="Browallia New"/>
          <w:sz w:val="28"/>
          <w:szCs w:val="28"/>
        </w:rPr>
        <w:t xml:space="preserve">We also asked respondents to describe to what extent external factors (e.g., investors, ratings agencies, emerging best practices) are creating pressures on senior executives to provide more information about risks affecting their organizations. As illustrated in the table on the next page, while a small percentage (10%) of respondents described external pressures as “extensive,” an additional 22% indicated that external pressures were “mostly” and another 30% described that pressure as “somewhat.” Thus, on a combined basis almost two-thirds (62%) of our respondents believe the external pressure to be more transparent about their risk exposures is “somewhat” to “extensive.” That result is </w:t>
      </w:r>
      <w:r w:rsidR="00250FB7">
        <w:rPr>
          <w:rFonts w:ascii="Browallia New" w:hAnsi="Browallia New" w:cs="Browallia New"/>
          <w:sz w:val="28"/>
          <w:szCs w:val="28"/>
        </w:rPr>
        <w:t xml:space="preserve">relatively </w:t>
      </w:r>
      <w:r w:rsidR="004F14EC" w:rsidRPr="007C4725">
        <w:rPr>
          <w:rFonts w:ascii="Browallia New" w:hAnsi="Browallia New" w:cs="Browallia New"/>
          <w:sz w:val="28"/>
          <w:szCs w:val="28"/>
        </w:rPr>
        <w:t xml:space="preserve">consistent with </w:t>
      </w:r>
      <w:r w:rsidR="00250FB7">
        <w:rPr>
          <w:rFonts w:ascii="Browallia New" w:hAnsi="Browallia New" w:cs="Browallia New"/>
          <w:sz w:val="28"/>
          <w:szCs w:val="28"/>
        </w:rPr>
        <w:t>the 62%</w:t>
      </w:r>
      <w:r w:rsidR="004F14EC" w:rsidRPr="007C4725">
        <w:rPr>
          <w:rFonts w:ascii="Browallia New" w:hAnsi="Browallia New" w:cs="Browallia New"/>
          <w:sz w:val="28"/>
          <w:szCs w:val="28"/>
        </w:rPr>
        <w:t xml:space="preserve"> </w:t>
      </w:r>
      <w:r w:rsidR="00250FB7">
        <w:rPr>
          <w:rFonts w:ascii="Browallia New" w:hAnsi="Browallia New" w:cs="Browallia New"/>
          <w:sz w:val="28"/>
          <w:szCs w:val="28"/>
        </w:rPr>
        <w:t>report</w:t>
      </w:r>
      <w:r w:rsidR="004F14EC" w:rsidRPr="007C4725">
        <w:rPr>
          <w:rFonts w:ascii="Browallia New" w:hAnsi="Browallia New" w:cs="Browallia New"/>
          <w:sz w:val="28"/>
          <w:szCs w:val="28"/>
        </w:rPr>
        <w:t>ed last year.</w:t>
      </w:r>
    </w:p>
    <w:p w14:paraId="6EAEA815" w14:textId="77777777" w:rsidR="004F14EC" w:rsidRDefault="004F14EC" w:rsidP="007C4725">
      <w:pPr>
        <w:spacing w:line="204" w:lineRule="auto"/>
        <w:jc w:val="both"/>
        <w:rPr>
          <w:rFonts w:ascii="Browallia New" w:hAnsi="Browallia New" w:cs="Browallia New"/>
          <w:sz w:val="28"/>
          <w:szCs w:val="28"/>
        </w:rPr>
      </w:pPr>
      <w:r w:rsidRPr="007C4725">
        <w:rPr>
          <w:rFonts w:ascii="Browallia New" w:hAnsi="Browallia New" w:cs="Browallia New"/>
          <w:sz w:val="28"/>
          <w:szCs w:val="28"/>
        </w:rPr>
        <w:t xml:space="preserve">External pressures are notably stronger for financial services entities, likely from regulators who are becoming more vocal proponents of ERM in </w:t>
      </w:r>
      <w:r w:rsidR="00250FB7">
        <w:rPr>
          <w:rFonts w:ascii="Browallia New" w:hAnsi="Browallia New" w:cs="Browallia New"/>
          <w:sz w:val="28"/>
          <w:szCs w:val="28"/>
        </w:rPr>
        <w:t>financial services</w:t>
      </w:r>
      <w:r w:rsidRPr="007C4725">
        <w:rPr>
          <w:rFonts w:ascii="Browallia New" w:hAnsi="Browallia New" w:cs="Browallia New"/>
          <w:sz w:val="28"/>
          <w:szCs w:val="28"/>
        </w:rPr>
        <w:t xml:space="preserve">. </w:t>
      </w:r>
      <w:r w:rsidR="0059711E">
        <w:rPr>
          <w:rFonts w:ascii="Browallia New" w:hAnsi="Browallia New" w:cs="Browallia New"/>
          <w:sz w:val="28"/>
          <w:szCs w:val="28"/>
        </w:rPr>
        <w:t>Respondents in t</w:t>
      </w:r>
      <w:r w:rsidRPr="007C4725">
        <w:rPr>
          <w:rFonts w:ascii="Browallia New" w:hAnsi="Browallia New" w:cs="Browallia New"/>
          <w:sz w:val="28"/>
          <w:szCs w:val="28"/>
        </w:rPr>
        <w:t xml:space="preserve">hese organizations perceived the external pressures to provide more information about risks facing the organization to be much greater than the overall sample of firms. </w:t>
      </w:r>
      <w:r w:rsidR="00250FB7">
        <w:rPr>
          <w:rFonts w:ascii="Browallia New" w:hAnsi="Browallia New" w:cs="Browallia New"/>
          <w:sz w:val="28"/>
          <w:szCs w:val="28"/>
        </w:rPr>
        <w:t xml:space="preserve">However, we did observe </w:t>
      </w:r>
      <w:r w:rsidR="0059711E">
        <w:rPr>
          <w:rFonts w:ascii="Browallia New" w:hAnsi="Browallia New" w:cs="Browallia New"/>
          <w:sz w:val="28"/>
          <w:szCs w:val="28"/>
        </w:rPr>
        <w:t>some</w:t>
      </w:r>
      <w:r w:rsidR="00250FB7">
        <w:rPr>
          <w:rFonts w:ascii="Browallia New" w:hAnsi="Browallia New" w:cs="Browallia New"/>
          <w:sz w:val="28"/>
          <w:szCs w:val="28"/>
        </w:rPr>
        <w:t xml:space="preserve"> </w:t>
      </w:r>
      <w:proofErr w:type="gramStart"/>
      <w:r w:rsidR="00250FB7">
        <w:rPr>
          <w:rFonts w:ascii="Browallia New" w:hAnsi="Browallia New" w:cs="Browallia New"/>
          <w:sz w:val="28"/>
          <w:szCs w:val="28"/>
        </w:rPr>
        <w:t>reduction</w:t>
      </w:r>
      <w:proofErr w:type="gramEnd"/>
      <w:r w:rsidR="00250FB7">
        <w:rPr>
          <w:rFonts w:ascii="Browallia New" w:hAnsi="Browallia New" w:cs="Browallia New"/>
          <w:sz w:val="28"/>
          <w:szCs w:val="28"/>
        </w:rPr>
        <w:t xml:space="preserve"> from the 83% reported last year for financial services</w:t>
      </w:r>
      <w:r w:rsidR="0059711E">
        <w:rPr>
          <w:rFonts w:ascii="Browallia New" w:hAnsi="Browallia New" w:cs="Browallia New"/>
          <w:sz w:val="28"/>
          <w:szCs w:val="28"/>
        </w:rPr>
        <w:t xml:space="preserve"> (with similar levels </w:t>
      </w:r>
      <w:r w:rsidR="0059711E">
        <w:rPr>
          <w:rFonts w:ascii="Browallia New" w:hAnsi="Browallia New" w:cs="Browallia New"/>
          <w:sz w:val="28"/>
          <w:szCs w:val="28"/>
        </w:rPr>
        <w:lastRenderedPageBreak/>
        <w:t>of reductions for large organizations and public companies)</w:t>
      </w:r>
      <w:r w:rsidR="00250FB7">
        <w:rPr>
          <w:rFonts w:ascii="Browallia New" w:hAnsi="Browallia New" w:cs="Browallia New"/>
          <w:sz w:val="28"/>
          <w:szCs w:val="28"/>
        </w:rPr>
        <w:t xml:space="preserve">. Interestingly, the 55% reported for not-for-profit organizations is up from the 48% reported last year, suggesting </w:t>
      </w:r>
      <w:r w:rsidR="00D059B7">
        <w:rPr>
          <w:rFonts w:ascii="Browallia New" w:hAnsi="Browallia New" w:cs="Browallia New"/>
          <w:sz w:val="28"/>
          <w:szCs w:val="28"/>
        </w:rPr>
        <w:t>that not-for-profit organizations are under greater pressure to strengthen senior management’s engagement in risk management.</w:t>
      </w:r>
    </w:p>
    <w:p w14:paraId="0BD19B76" w14:textId="77777777" w:rsidR="00751104" w:rsidRPr="00F6494D" w:rsidRDefault="00751104" w:rsidP="00751104">
      <w:pPr>
        <w:spacing w:line="204" w:lineRule="auto"/>
        <w:jc w:val="both"/>
        <w:rPr>
          <w:rStyle w:val="IntenseReference"/>
          <w:color w:val="auto"/>
        </w:rPr>
      </w:pPr>
      <w:r w:rsidRPr="00F6494D">
        <w:rPr>
          <w:rStyle w:val="IntenseReference"/>
          <w:color w:val="auto"/>
        </w:rPr>
        <w:t>PERCENTAGE OF RESPONDENTS</w:t>
      </w:r>
    </w:p>
    <w:tbl>
      <w:tblPr>
        <w:tblStyle w:val="ListTable3-Accent3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828"/>
        <w:gridCol w:w="1620"/>
        <w:gridCol w:w="1350"/>
        <w:gridCol w:w="1260"/>
        <w:gridCol w:w="1548"/>
      </w:tblGrid>
      <w:tr w:rsidR="004F14EC" w:rsidRPr="00F46D57" w14:paraId="7DF70053" w14:textId="77777777" w:rsidTr="007511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Borders>
              <w:bottom w:val="none" w:sz="0" w:space="0" w:color="auto"/>
              <w:right w:val="none" w:sz="0" w:space="0" w:color="auto"/>
            </w:tcBorders>
            <w:shd w:val="clear" w:color="auto" w:fill="A6A6A6" w:themeFill="background1" w:themeFillShade="A6"/>
          </w:tcPr>
          <w:p w14:paraId="115B7408" w14:textId="77777777" w:rsidR="004F14EC" w:rsidRPr="003B1178" w:rsidRDefault="004F14EC" w:rsidP="00E12ABA">
            <w:pPr>
              <w:spacing w:line="204" w:lineRule="auto"/>
              <w:rPr>
                <w:rFonts w:ascii="Browallia New" w:hAnsi="Browallia New" w:cs="Browallia New"/>
                <w:color w:val="auto"/>
              </w:rPr>
            </w:pPr>
            <w:r w:rsidRPr="003B1178">
              <w:rPr>
                <w:rFonts w:ascii="Browallia New" w:hAnsi="Browallia New" w:cs="Browallia New"/>
                <w:color w:val="auto"/>
              </w:rPr>
              <w:t xml:space="preserve">Extent that external parties are applying pressure on senior executives to provide more information about risks </w:t>
            </w:r>
            <w:r w:rsidRPr="003B1178">
              <w:rPr>
                <w:rFonts w:ascii="Browallia New" w:hAnsi="Browallia New" w:cs="Browallia New"/>
                <w:color w:val="auto"/>
                <w:u w:val="single"/>
              </w:rPr>
              <w:t>affecting the organization</w:t>
            </w:r>
          </w:p>
        </w:tc>
        <w:tc>
          <w:tcPr>
            <w:tcW w:w="828" w:type="dxa"/>
            <w:shd w:val="clear" w:color="auto" w:fill="A6A6A6" w:themeFill="background1" w:themeFillShade="A6"/>
          </w:tcPr>
          <w:p w14:paraId="7C7F1CE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33842355"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F4C38E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5A2F4178"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620" w:type="dxa"/>
            <w:shd w:val="clear" w:color="auto" w:fill="A6A6A6" w:themeFill="background1" w:themeFillShade="A6"/>
          </w:tcPr>
          <w:p w14:paraId="61EF6CBD"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392B67D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p>
          <w:p w14:paraId="513AE956"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(Revenues &gt;$1B)</w:t>
            </w:r>
          </w:p>
        </w:tc>
        <w:tc>
          <w:tcPr>
            <w:tcW w:w="1350" w:type="dxa"/>
            <w:shd w:val="clear" w:color="auto" w:fill="A6A6A6" w:themeFill="background1" w:themeFillShade="A6"/>
          </w:tcPr>
          <w:p w14:paraId="5C16605B"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17B7446"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58288CE0"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260" w:type="dxa"/>
            <w:shd w:val="clear" w:color="auto" w:fill="A6A6A6" w:themeFill="background1" w:themeFillShade="A6"/>
          </w:tcPr>
          <w:p w14:paraId="26B15959"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7CBD7B5A"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0C322B9A"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7BBF68D1"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48" w:type="dxa"/>
            <w:shd w:val="clear" w:color="auto" w:fill="A6A6A6" w:themeFill="background1" w:themeFillShade="A6"/>
          </w:tcPr>
          <w:p w14:paraId="79250AC4"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D1AF05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2D826204"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4F14EC" w:rsidRPr="00F46D57" w14:paraId="17614A5E" w14:textId="77777777" w:rsidTr="0075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bottom w:val="none" w:sz="0" w:space="0" w:color="auto"/>
              <w:right w:val="none" w:sz="0" w:space="0" w:color="auto"/>
            </w:tcBorders>
            <w:shd w:val="clear" w:color="auto" w:fill="A6A6A6" w:themeFill="background1" w:themeFillShade="A6"/>
          </w:tcPr>
          <w:p w14:paraId="07D47E4C" w14:textId="77777777" w:rsidR="004F14EC" w:rsidRPr="003B1178" w:rsidRDefault="004F14EC" w:rsidP="00E12ABA">
            <w:pPr>
              <w:spacing w:line="204" w:lineRule="auto"/>
              <w:rPr>
                <w:rFonts w:ascii="Browallia New" w:hAnsi="Browallia New" w:cs="Browallia New"/>
              </w:rPr>
            </w:pPr>
          </w:p>
          <w:p w14:paraId="7DFDCCBF" w14:textId="77777777" w:rsidR="004F14EC" w:rsidRPr="003B1178" w:rsidRDefault="004F14EC" w:rsidP="00E12ABA">
            <w:pPr>
              <w:spacing w:line="204" w:lineRule="auto"/>
              <w:rPr>
                <w:rFonts w:ascii="Browallia New" w:hAnsi="Browallia New" w:cs="Browallia New"/>
              </w:rPr>
            </w:pPr>
            <w:r w:rsidRPr="003B1178">
              <w:rPr>
                <w:rFonts w:ascii="Browallia New" w:hAnsi="Browallia New" w:cs="Browallia New"/>
              </w:rPr>
              <w:t>“Extensively”</w:t>
            </w:r>
          </w:p>
        </w:tc>
        <w:tc>
          <w:tcPr>
            <w:tcW w:w="828" w:type="dxa"/>
            <w:tcBorders>
              <w:top w:val="none" w:sz="0" w:space="0" w:color="auto"/>
              <w:bottom w:val="none" w:sz="0" w:space="0" w:color="auto"/>
            </w:tcBorders>
            <w:shd w:val="clear" w:color="auto" w:fill="A6A6A6" w:themeFill="background1" w:themeFillShade="A6"/>
          </w:tcPr>
          <w:p w14:paraId="0CA4C2DC"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7D434FC"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10%</w:t>
            </w:r>
          </w:p>
        </w:tc>
        <w:tc>
          <w:tcPr>
            <w:tcW w:w="1620" w:type="dxa"/>
            <w:tcBorders>
              <w:top w:val="none" w:sz="0" w:space="0" w:color="auto"/>
              <w:bottom w:val="none" w:sz="0" w:space="0" w:color="auto"/>
            </w:tcBorders>
            <w:shd w:val="clear" w:color="auto" w:fill="A6A6A6" w:themeFill="background1" w:themeFillShade="A6"/>
          </w:tcPr>
          <w:p w14:paraId="130170D4"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39524138"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c>
          <w:tcPr>
            <w:tcW w:w="1350" w:type="dxa"/>
            <w:tcBorders>
              <w:top w:val="none" w:sz="0" w:space="0" w:color="auto"/>
              <w:bottom w:val="none" w:sz="0" w:space="0" w:color="auto"/>
            </w:tcBorders>
            <w:shd w:val="clear" w:color="auto" w:fill="A6A6A6" w:themeFill="background1" w:themeFillShade="A6"/>
          </w:tcPr>
          <w:p w14:paraId="239CD0C5"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201DDB9"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c>
          <w:tcPr>
            <w:tcW w:w="1260" w:type="dxa"/>
            <w:tcBorders>
              <w:top w:val="none" w:sz="0" w:space="0" w:color="auto"/>
              <w:bottom w:val="none" w:sz="0" w:space="0" w:color="auto"/>
            </w:tcBorders>
            <w:shd w:val="clear" w:color="auto" w:fill="A6A6A6" w:themeFill="background1" w:themeFillShade="A6"/>
          </w:tcPr>
          <w:p w14:paraId="2CA3D8FA"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4C7AF56"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17%</w:t>
            </w:r>
          </w:p>
        </w:tc>
        <w:tc>
          <w:tcPr>
            <w:tcW w:w="1548" w:type="dxa"/>
            <w:tcBorders>
              <w:top w:val="none" w:sz="0" w:space="0" w:color="auto"/>
              <w:bottom w:val="none" w:sz="0" w:space="0" w:color="auto"/>
            </w:tcBorders>
            <w:shd w:val="clear" w:color="auto" w:fill="A6A6A6" w:themeFill="background1" w:themeFillShade="A6"/>
          </w:tcPr>
          <w:p w14:paraId="1B9E38C8"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1FF50F86"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w:t>
            </w:r>
          </w:p>
        </w:tc>
      </w:tr>
      <w:tr w:rsidR="004F14EC" w:rsidRPr="00F46D57" w14:paraId="49514B4A" w14:textId="77777777" w:rsidTr="00751104">
        <w:tc>
          <w:tcPr>
            <w:cnfStyle w:val="001000000000" w:firstRow="0" w:lastRow="0" w:firstColumn="1" w:lastColumn="0" w:oddVBand="0" w:evenVBand="0" w:oddHBand="0" w:evenHBand="0" w:firstRowFirstColumn="0" w:firstRowLastColumn="0" w:lastRowFirstColumn="0" w:lastRowLastColumn="0"/>
            <w:tcW w:w="2970" w:type="dxa"/>
            <w:tcBorders>
              <w:right w:val="none" w:sz="0" w:space="0" w:color="auto"/>
            </w:tcBorders>
            <w:shd w:val="clear" w:color="auto" w:fill="A6A6A6" w:themeFill="background1" w:themeFillShade="A6"/>
          </w:tcPr>
          <w:p w14:paraId="0A6EC4F4" w14:textId="77777777" w:rsidR="004F14EC" w:rsidRPr="003B1178" w:rsidRDefault="004F14EC" w:rsidP="00E12ABA">
            <w:pPr>
              <w:spacing w:line="204" w:lineRule="auto"/>
              <w:rPr>
                <w:rFonts w:ascii="Browallia New" w:hAnsi="Browallia New" w:cs="Browallia New"/>
              </w:rPr>
            </w:pPr>
            <w:r w:rsidRPr="003B1178">
              <w:rPr>
                <w:rFonts w:ascii="Browallia New" w:hAnsi="Browallia New" w:cs="Browallia New"/>
              </w:rPr>
              <w:t>“Mostly”</w:t>
            </w:r>
          </w:p>
        </w:tc>
        <w:tc>
          <w:tcPr>
            <w:tcW w:w="828" w:type="dxa"/>
            <w:shd w:val="clear" w:color="auto" w:fill="A6A6A6" w:themeFill="background1" w:themeFillShade="A6"/>
          </w:tcPr>
          <w:p w14:paraId="56867F15"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22%</w:t>
            </w:r>
          </w:p>
        </w:tc>
        <w:tc>
          <w:tcPr>
            <w:tcW w:w="1620" w:type="dxa"/>
            <w:shd w:val="clear" w:color="auto" w:fill="A6A6A6" w:themeFill="background1" w:themeFillShade="A6"/>
          </w:tcPr>
          <w:p w14:paraId="00C63C8C"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22%</w:t>
            </w:r>
          </w:p>
        </w:tc>
        <w:tc>
          <w:tcPr>
            <w:tcW w:w="1350" w:type="dxa"/>
            <w:shd w:val="clear" w:color="auto" w:fill="A6A6A6" w:themeFill="background1" w:themeFillShade="A6"/>
          </w:tcPr>
          <w:p w14:paraId="500D7A42"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22%</w:t>
            </w:r>
          </w:p>
        </w:tc>
        <w:tc>
          <w:tcPr>
            <w:tcW w:w="1260" w:type="dxa"/>
            <w:shd w:val="clear" w:color="auto" w:fill="A6A6A6" w:themeFill="background1" w:themeFillShade="A6"/>
          </w:tcPr>
          <w:p w14:paraId="3018270C"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25%</w:t>
            </w:r>
          </w:p>
        </w:tc>
        <w:tc>
          <w:tcPr>
            <w:tcW w:w="1548" w:type="dxa"/>
            <w:shd w:val="clear" w:color="auto" w:fill="A6A6A6" w:themeFill="background1" w:themeFillShade="A6"/>
          </w:tcPr>
          <w:p w14:paraId="299EB9F9"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19%</w:t>
            </w:r>
          </w:p>
        </w:tc>
      </w:tr>
      <w:tr w:rsidR="004F14EC" w:rsidRPr="00F46D57" w14:paraId="061E9079" w14:textId="77777777" w:rsidTr="0075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bottom w:val="none" w:sz="0" w:space="0" w:color="auto"/>
              <w:right w:val="none" w:sz="0" w:space="0" w:color="auto"/>
            </w:tcBorders>
            <w:shd w:val="clear" w:color="auto" w:fill="A6A6A6" w:themeFill="background1" w:themeFillShade="A6"/>
          </w:tcPr>
          <w:p w14:paraId="4EC23AD0" w14:textId="77777777" w:rsidR="004F14EC" w:rsidRPr="003B1178" w:rsidRDefault="004F14EC" w:rsidP="00E12ABA">
            <w:pPr>
              <w:spacing w:line="204" w:lineRule="auto"/>
              <w:rPr>
                <w:rFonts w:ascii="Browallia New" w:hAnsi="Browallia New" w:cs="Browallia New"/>
              </w:rPr>
            </w:pPr>
            <w:r w:rsidRPr="003B1178">
              <w:rPr>
                <w:rFonts w:ascii="Browallia New" w:hAnsi="Browallia New" w:cs="Browallia New"/>
              </w:rPr>
              <w:t>“Somewhat”</w:t>
            </w:r>
          </w:p>
        </w:tc>
        <w:tc>
          <w:tcPr>
            <w:tcW w:w="828" w:type="dxa"/>
            <w:tcBorders>
              <w:top w:val="none" w:sz="0" w:space="0" w:color="auto"/>
              <w:bottom w:val="none" w:sz="0" w:space="0" w:color="auto"/>
            </w:tcBorders>
            <w:shd w:val="clear" w:color="auto" w:fill="A6A6A6" w:themeFill="background1" w:themeFillShade="A6"/>
          </w:tcPr>
          <w:p w14:paraId="0C570ABE"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30%</w:t>
            </w:r>
          </w:p>
        </w:tc>
        <w:tc>
          <w:tcPr>
            <w:tcW w:w="1620" w:type="dxa"/>
            <w:tcBorders>
              <w:top w:val="none" w:sz="0" w:space="0" w:color="auto"/>
              <w:bottom w:val="none" w:sz="0" w:space="0" w:color="auto"/>
            </w:tcBorders>
            <w:shd w:val="clear" w:color="auto" w:fill="A6A6A6" w:themeFill="background1" w:themeFillShade="A6"/>
          </w:tcPr>
          <w:p w14:paraId="0243D1F3"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34%</w:t>
            </w:r>
          </w:p>
        </w:tc>
        <w:tc>
          <w:tcPr>
            <w:tcW w:w="1350" w:type="dxa"/>
            <w:tcBorders>
              <w:top w:val="none" w:sz="0" w:space="0" w:color="auto"/>
              <w:bottom w:val="none" w:sz="0" w:space="0" w:color="auto"/>
            </w:tcBorders>
            <w:shd w:val="clear" w:color="auto" w:fill="A6A6A6" w:themeFill="background1" w:themeFillShade="A6"/>
          </w:tcPr>
          <w:p w14:paraId="7EDA1038"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36%</w:t>
            </w:r>
          </w:p>
        </w:tc>
        <w:tc>
          <w:tcPr>
            <w:tcW w:w="1260" w:type="dxa"/>
            <w:tcBorders>
              <w:top w:val="none" w:sz="0" w:space="0" w:color="auto"/>
              <w:bottom w:val="none" w:sz="0" w:space="0" w:color="auto"/>
            </w:tcBorders>
            <w:shd w:val="clear" w:color="auto" w:fill="A6A6A6" w:themeFill="background1" w:themeFillShade="A6"/>
          </w:tcPr>
          <w:p w14:paraId="0EAD365A"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29%</w:t>
            </w:r>
          </w:p>
        </w:tc>
        <w:tc>
          <w:tcPr>
            <w:tcW w:w="1548" w:type="dxa"/>
            <w:tcBorders>
              <w:top w:val="none" w:sz="0" w:space="0" w:color="auto"/>
              <w:bottom w:val="none" w:sz="0" w:space="0" w:color="auto"/>
            </w:tcBorders>
            <w:shd w:val="clear" w:color="auto" w:fill="A6A6A6" w:themeFill="background1" w:themeFillShade="A6"/>
          </w:tcPr>
          <w:p w14:paraId="260AC46F" w14:textId="77777777" w:rsidR="004F14EC" w:rsidRPr="003B1178" w:rsidRDefault="004F14EC"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32%</w:t>
            </w:r>
          </w:p>
        </w:tc>
      </w:tr>
      <w:tr w:rsidR="004F14EC" w:rsidRPr="00F46D57" w14:paraId="1AEADC62" w14:textId="77777777" w:rsidTr="00751104">
        <w:tc>
          <w:tcPr>
            <w:cnfStyle w:val="001000000000" w:firstRow="0" w:lastRow="0" w:firstColumn="1" w:lastColumn="0" w:oddVBand="0" w:evenVBand="0" w:oddHBand="0" w:evenHBand="0" w:firstRowFirstColumn="0" w:firstRowLastColumn="0" w:lastRowFirstColumn="0" w:lastRowLastColumn="0"/>
            <w:tcW w:w="2970" w:type="dxa"/>
            <w:tcBorders>
              <w:right w:val="none" w:sz="0" w:space="0" w:color="auto"/>
            </w:tcBorders>
            <w:shd w:val="clear" w:color="auto" w:fill="A6A6A6" w:themeFill="background1" w:themeFillShade="A6"/>
          </w:tcPr>
          <w:p w14:paraId="5D9923A2" w14:textId="77777777" w:rsidR="004F14EC" w:rsidRPr="003B1178" w:rsidRDefault="004F14EC" w:rsidP="00E12ABA">
            <w:pPr>
              <w:spacing w:line="204" w:lineRule="auto"/>
              <w:rPr>
                <w:rFonts w:ascii="Browallia New" w:hAnsi="Browallia New" w:cs="Browallia New"/>
              </w:rPr>
            </w:pPr>
            <w:r w:rsidRPr="003B1178">
              <w:rPr>
                <w:rFonts w:ascii="Browallia New" w:hAnsi="Browallia New" w:cs="Browallia New"/>
              </w:rPr>
              <w:t>Combined</w:t>
            </w:r>
          </w:p>
        </w:tc>
        <w:tc>
          <w:tcPr>
            <w:tcW w:w="828" w:type="dxa"/>
            <w:shd w:val="clear" w:color="auto" w:fill="A6A6A6" w:themeFill="background1" w:themeFillShade="A6"/>
          </w:tcPr>
          <w:p w14:paraId="56F8E819"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62%</w:t>
            </w:r>
          </w:p>
        </w:tc>
        <w:tc>
          <w:tcPr>
            <w:tcW w:w="1620" w:type="dxa"/>
            <w:shd w:val="clear" w:color="auto" w:fill="A6A6A6" w:themeFill="background1" w:themeFillShade="A6"/>
          </w:tcPr>
          <w:p w14:paraId="25ECF6A7"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67%</w:t>
            </w:r>
          </w:p>
        </w:tc>
        <w:tc>
          <w:tcPr>
            <w:tcW w:w="1350" w:type="dxa"/>
            <w:shd w:val="clear" w:color="auto" w:fill="A6A6A6" w:themeFill="background1" w:themeFillShade="A6"/>
          </w:tcPr>
          <w:p w14:paraId="0EBF29E8"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69%</w:t>
            </w:r>
          </w:p>
        </w:tc>
        <w:tc>
          <w:tcPr>
            <w:tcW w:w="1260" w:type="dxa"/>
            <w:shd w:val="clear" w:color="auto" w:fill="A6A6A6" w:themeFill="background1" w:themeFillShade="A6"/>
          </w:tcPr>
          <w:p w14:paraId="56B75676"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71%</w:t>
            </w:r>
          </w:p>
        </w:tc>
        <w:tc>
          <w:tcPr>
            <w:tcW w:w="1548" w:type="dxa"/>
            <w:shd w:val="clear" w:color="auto" w:fill="A6A6A6" w:themeFill="background1" w:themeFillShade="A6"/>
          </w:tcPr>
          <w:p w14:paraId="527CDB03" w14:textId="77777777" w:rsidR="004F14EC" w:rsidRPr="003B1178" w:rsidRDefault="004F14EC"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55%</w:t>
            </w:r>
          </w:p>
        </w:tc>
      </w:tr>
    </w:tbl>
    <w:p w14:paraId="3F154A5B" w14:textId="77777777" w:rsidR="004F14EC" w:rsidRPr="00F46D57" w:rsidRDefault="004F14EC" w:rsidP="004F14EC">
      <w:pPr>
        <w:spacing w:after="0" w:line="240" w:lineRule="auto"/>
        <w:jc w:val="both"/>
        <w:rPr>
          <w:rFonts w:ascii="Browallia New" w:hAnsi="Browallia New" w:cs="Browallia New"/>
        </w:rPr>
      </w:pPr>
    </w:p>
    <w:p w14:paraId="2ED26C16" w14:textId="77777777" w:rsidR="004F14EC" w:rsidRDefault="004F14EC" w:rsidP="0054728D">
      <w:pPr>
        <w:spacing w:line="204" w:lineRule="auto"/>
        <w:jc w:val="both"/>
        <w:rPr>
          <w:rFonts w:ascii="Browallia New" w:hAnsi="Browallia New" w:cs="Browallia New"/>
          <w:sz w:val="28"/>
          <w:szCs w:val="28"/>
        </w:rPr>
      </w:pPr>
      <w:r w:rsidRPr="0054728D">
        <w:rPr>
          <w:rFonts w:ascii="Browallia New" w:hAnsi="Browallia New" w:cs="Browallia New"/>
          <w:sz w:val="28"/>
          <w:szCs w:val="28"/>
        </w:rPr>
        <w:t xml:space="preserve">Several other factors are prompting senior executives to consider changes in how they identify, assess, and manage risks. For the overall sample, respondents noted that unanticipated risk events, emerging best practice expectations, and </w:t>
      </w:r>
      <w:proofErr w:type="gramStart"/>
      <w:r w:rsidRPr="0054728D">
        <w:rPr>
          <w:rFonts w:ascii="Browallia New" w:hAnsi="Browallia New" w:cs="Browallia New"/>
          <w:sz w:val="28"/>
          <w:szCs w:val="28"/>
        </w:rPr>
        <w:t>regulator</w:t>
      </w:r>
      <w:proofErr w:type="gramEnd"/>
      <w:r w:rsidRPr="0054728D">
        <w:rPr>
          <w:rFonts w:ascii="Browallia New" w:hAnsi="Browallia New" w:cs="Browallia New"/>
          <w:sz w:val="28"/>
          <w:szCs w:val="28"/>
        </w:rPr>
        <w:t xml:space="preserve"> demands are the three most frequently cited factors for increasing senior executive involvement. However, as illustrated by the table below, regulator demands seem to be putting even greater pressure on senior executives in financial services organizations along with emerging </w:t>
      </w:r>
      <w:r w:rsidR="0059711E">
        <w:rPr>
          <w:rFonts w:ascii="Browallia New" w:hAnsi="Browallia New" w:cs="Browallia New"/>
          <w:sz w:val="28"/>
          <w:szCs w:val="28"/>
        </w:rPr>
        <w:t>best practices</w:t>
      </w:r>
      <w:r w:rsidRPr="0054728D">
        <w:rPr>
          <w:rFonts w:ascii="Browallia New" w:hAnsi="Browallia New" w:cs="Browallia New"/>
          <w:sz w:val="28"/>
          <w:szCs w:val="28"/>
        </w:rPr>
        <w:t xml:space="preserve">. Board of director requests for enhanced risk oversight </w:t>
      </w:r>
      <w:r w:rsidR="00225A0C">
        <w:rPr>
          <w:rFonts w:ascii="Browallia New" w:hAnsi="Browallia New" w:cs="Browallia New"/>
          <w:sz w:val="28"/>
          <w:szCs w:val="28"/>
        </w:rPr>
        <w:t>are</w:t>
      </w:r>
      <w:r w:rsidR="00225A0C" w:rsidRPr="0054728D">
        <w:rPr>
          <w:rFonts w:ascii="Browallia New" w:hAnsi="Browallia New" w:cs="Browallia New"/>
          <w:sz w:val="28"/>
          <w:szCs w:val="28"/>
        </w:rPr>
        <w:t xml:space="preserve"> </w:t>
      </w:r>
      <w:proofErr w:type="gramStart"/>
      <w:r w:rsidRPr="0054728D">
        <w:rPr>
          <w:rFonts w:ascii="Browallia New" w:hAnsi="Browallia New" w:cs="Browallia New"/>
          <w:sz w:val="28"/>
          <w:szCs w:val="28"/>
        </w:rPr>
        <w:t>particular</w:t>
      </w:r>
      <w:proofErr w:type="gramEnd"/>
      <w:r w:rsidRPr="0054728D">
        <w:rPr>
          <w:rFonts w:ascii="Browallia New" w:hAnsi="Browallia New" w:cs="Browallia New"/>
          <w:sz w:val="28"/>
          <w:szCs w:val="28"/>
        </w:rPr>
        <w:t xml:space="preserve"> strong for the largest organizations and public companies. </w:t>
      </w:r>
      <w:r w:rsidR="00DB48ED">
        <w:rPr>
          <w:rFonts w:ascii="Browallia New" w:hAnsi="Browallia New" w:cs="Browallia New"/>
          <w:sz w:val="28"/>
          <w:szCs w:val="28"/>
        </w:rPr>
        <w:t>The view that effective risk management practices are an emerging best practice seems to be the primary motivator for n</w:t>
      </w:r>
      <w:r w:rsidRPr="0054728D">
        <w:rPr>
          <w:rFonts w:ascii="Browallia New" w:hAnsi="Browallia New" w:cs="Browallia New"/>
          <w:sz w:val="28"/>
          <w:szCs w:val="28"/>
        </w:rPr>
        <w:t>ot-for-profit organizations to increase senior executive focus on risk management activities.</w:t>
      </w:r>
    </w:p>
    <w:p w14:paraId="674EE943" w14:textId="397BBF52" w:rsidR="00751104" w:rsidRPr="00F6494D" w:rsidRDefault="00751104" w:rsidP="00751104">
      <w:pPr>
        <w:spacing w:line="204" w:lineRule="auto"/>
        <w:jc w:val="both"/>
        <w:rPr>
          <w:rStyle w:val="IntenseReference"/>
          <w:color w:val="auto"/>
        </w:rPr>
      </w:pPr>
      <w:r w:rsidRPr="00F6494D">
        <w:rPr>
          <w:rStyle w:val="IntenseReference"/>
          <w:color w:val="auto"/>
        </w:rPr>
        <w:t>PERCENTAGE OF RESPONDENTS</w:t>
      </w:r>
      <w:r w:rsidRPr="00F6494D">
        <w:rPr>
          <w:rStyle w:val="IntenseReference"/>
          <w:color w:val="auto"/>
        </w:rPr>
        <w:t xml:space="preserve"> SELECTING “MOSTLY” OR “EXTENSIVELY”</w:t>
      </w: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990"/>
        <w:gridCol w:w="1440"/>
        <w:gridCol w:w="1109"/>
        <w:gridCol w:w="1577"/>
        <w:gridCol w:w="1524"/>
      </w:tblGrid>
      <w:tr w:rsidR="004F14EC" w:rsidRPr="00F46D57" w14:paraId="50326851"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6A6A6" w:themeFill="background1" w:themeFillShade="A6"/>
          </w:tcPr>
          <w:p w14:paraId="6070B777" w14:textId="77777777" w:rsidR="004F14EC" w:rsidRPr="003B1178" w:rsidRDefault="004F14EC" w:rsidP="00E12ABA">
            <w:pPr>
              <w:spacing w:line="204" w:lineRule="auto"/>
              <w:rPr>
                <w:rFonts w:ascii="Browallia New" w:hAnsi="Browallia New" w:cs="Browallia New"/>
                <w:color w:val="auto"/>
              </w:rPr>
            </w:pPr>
            <w:r w:rsidRPr="003B1178">
              <w:rPr>
                <w:rFonts w:ascii="Browallia New" w:hAnsi="Browallia New" w:cs="Browallia New"/>
                <w:color w:val="auto"/>
              </w:rPr>
              <w:t xml:space="preserve">Factors “Mostly” or “Extensively” Leading to Increased Senior Executive Focus on Risk </w:t>
            </w:r>
            <w:r w:rsidRPr="003B1178">
              <w:rPr>
                <w:rFonts w:ascii="Browallia New" w:hAnsi="Browallia New" w:cs="Browallia New"/>
                <w:color w:val="auto"/>
                <w:u w:val="single"/>
              </w:rPr>
              <w:t>Management Activities</w:t>
            </w:r>
          </w:p>
        </w:tc>
        <w:tc>
          <w:tcPr>
            <w:tcW w:w="990" w:type="dxa"/>
            <w:shd w:val="clear" w:color="auto" w:fill="A6A6A6" w:themeFill="background1" w:themeFillShade="A6"/>
          </w:tcPr>
          <w:p w14:paraId="5F3B480A"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0047927C"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54CB5345"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17466F10"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440" w:type="dxa"/>
            <w:shd w:val="clear" w:color="auto" w:fill="A6A6A6" w:themeFill="background1" w:themeFillShade="A6"/>
          </w:tcPr>
          <w:p w14:paraId="041F7762"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633916A"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r w:rsidRPr="003B1178">
              <w:rPr>
                <w:rFonts w:ascii="Browallia New" w:hAnsi="Browallia New" w:cs="Browallia New"/>
                <w:color w:val="auto"/>
                <w:u w:val="single"/>
              </w:rPr>
              <w:t>(Revenues &gt;$1B)</w:t>
            </w:r>
          </w:p>
        </w:tc>
        <w:tc>
          <w:tcPr>
            <w:tcW w:w="1109" w:type="dxa"/>
            <w:shd w:val="clear" w:color="auto" w:fill="A6A6A6" w:themeFill="background1" w:themeFillShade="A6"/>
          </w:tcPr>
          <w:p w14:paraId="435E6CCB"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880870F"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5C9FFBA"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577" w:type="dxa"/>
            <w:shd w:val="clear" w:color="auto" w:fill="A6A6A6" w:themeFill="background1" w:themeFillShade="A6"/>
          </w:tcPr>
          <w:p w14:paraId="01643BAB"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7D51D254"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6FEDE19"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3A9B3495"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24" w:type="dxa"/>
            <w:shd w:val="clear" w:color="auto" w:fill="A6A6A6" w:themeFill="background1" w:themeFillShade="A6"/>
          </w:tcPr>
          <w:p w14:paraId="6F3D0740"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34C1B43"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9BE9A4D" w14:textId="77777777" w:rsidR="004F14EC" w:rsidRPr="003B1178" w:rsidRDefault="004F14EC"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4F14EC" w:rsidRPr="00F46D57" w14:paraId="30692040" w14:textId="77777777" w:rsidTr="00F6494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left w:val="none" w:sz="0" w:space="0" w:color="auto"/>
              <w:bottom w:val="none" w:sz="0" w:space="0" w:color="auto"/>
            </w:tcBorders>
            <w:shd w:val="clear" w:color="auto" w:fill="FFFFFF" w:themeFill="background1"/>
          </w:tcPr>
          <w:p w14:paraId="38D8DE4B" w14:textId="77777777" w:rsidR="004F14EC" w:rsidRPr="003B1178" w:rsidRDefault="004F14EC" w:rsidP="00D059B7">
            <w:pPr>
              <w:spacing w:line="168" w:lineRule="auto"/>
              <w:rPr>
                <w:rFonts w:ascii="Browallia New" w:hAnsi="Browallia New" w:cs="Browallia New"/>
              </w:rPr>
            </w:pPr>
          </w:p>
          <w:p w14:paraId="72D4A82D" w14:textId="77777777" w:rsidR="004F14EC" w:rsidRPr="003B1178" w:rsidRDefault="004F14EC" w:rsidP="00D059B7">
            <w:pPr>
              <w:spacing w:line="168" w:lineRule="auto"/>
              <w:rPr>
                <w:rFonts w:ascii="Browallia New" w:hAnsi="Browallia New" w:cs="Browallia New"/>
              </w:rPr>
            </w:pPr>
            <w:proofErr w:type="gramStart"/>
            <w:r w:rsidRPr="003B1178">
              <w:rPr>
                <w:rFonts w:ascii="Browallia New" w:hAnsi="Browallia New" w:cs="Browallia New"/>
              </w:rPr>
              <w:t>Regulator</w:t>
            </w:r>
            <w:proofErr w:type="gramEnd"/>
            <w:r w:rsidRPr="003B1178">
              <w:rPr>
                <w:rFonts w:ascii="Browallia New" w:hAnsi="Browallia New" w:cs="Browallia New"/>
              </w:rPr>
              <w:t xml:space="preserve"> Demands</w:t>
            </w:r>
          </w:p>
        </w:tc>
        <w:tc>
          <w:tcPr>
            <w:tcW w:w="990" w:type="dxa"/>
            <w:tcBorders>
              <w:top w:val="none" w:sz="0" w:space="0" w:color="auto"/>
              <w:bottom w:val="none" w:sz="0" w:space="0" w:color="auto"/>
            </w:tcBorders>
            <w:shd w:val="clear" w:color="auto" w:fill="FFFFFF" w:themeFill="background1"/>
          </w:tcPr>
          <w:p w14:paraId="6344CABE"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122D9BA"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c>
          <w:tcPr>
            <w:tcW w:w="1440" w:type="dxa"/>
            <w:tcBorders>
              <w:top w:val="none" w:sz="0" w:space="0" w:color="auto"/>
              <w:bottom w:val="none" w:sz="0" w:space="0" w:color="auto"/>
            </w:tcBorders>
            <w:shd w:val="clear" w:color="auto" w:fill="FFFFFF" w:themeFill="background1"/>
          </w:tcPr>
          <w:p w14:paraId="11079455"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AD23999"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36%</w:t>
            </w:r>
          </w:p>
        </w:tc>
        <w:tc>
          <w:tcPr>
            <w:tcW w:w="1109" w:type="dxa"/>
            <w:tcBorders>
              <w:top w:val="none" w:sz="0" w:space="0" w:color="auto"/>
              <w:bottom w:val="none" w:sz="0" w:space="0" w:color="auto"/>
            </w:tcBorders>
            <w:shd w:val="clear" w:color="auto" w:fill="FFFFFF" w:themeFill="background1"/>
          </w:tcPr>
          <w:p w14:paraId="1DF88FAE"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3ACCBAB"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c>
          <w:tcPr>
            <w:tcW w:w="1577" w:type="dxa"/>
            <w:tcBorders>
              <w:top w:val="none" w:sz="0" w:space="0" w:color="auto"/>
              <w:bottom w:val="none" w:sz="0" w:space="0" w:color="auto"/>
            </w:tcBorders>
            <w:shd w:val="clear" w:color="auto" w:fill="FFFFFF" w:themeFill="background1"/>
          </w:tcPr>
          <w:p w14:paraId="770E4791"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9DC8DD1"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50%</w:t>
            </w:r>
          </w:p>
        </w:tc>
        <w:tc>
          <w:tcPr>
            <w:tcW w:w="1524" w:type="dxa"/>
            <w:tcBorders>
              <w:top w:val="none" w:sz="0" w:space="0" w:color="auto"/>
              <w:bottom w:val="none" w:sz="0" w:space="0" w:color="auto"/>
              <w:right w:val="none" w:sz="0" w:space="0" w:color="auto"/>
            </w:tcBorders>
            <w:shd w:val="clear" w:color="auto" w:fill="FFFFFF" w:themeFill="background1"/>
          </w:tcPr>
          <w:p w14:paraId="1D398CC7"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3DA7FE4" w14:textId="77777777" w:rsidR="004F14EC" w:rsidRPr="003B1178" w:rsidRDefault="004F14EC" w:rsidP="00D059B7">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24%</w:t>
            </w:r>
          </w:p>
        </w:tc>
      </w:tr>
      <w:tr w:rsidR="004F14EC" w:rsidRPr="00F46D57" w14:paraId="39D754BA" w14:textId="77777777" w:rsidTr="00F6494D">
        <w:tc>
          <w:tcPr>
            <w:cnfStyle w:val="001000000000" w:firstRow="0" w:lastRow="0" w:firstColumn="1" w:lastColumn="0" w:oddVBand="0" w:evenVBand="0" w:oddHBand="0" w:evenHBand="0" w:firstRowFirstColumn="0" w:firstRowLastColumn="0" w:lastRowFirstColumn="0" w:lastRowLastColumn="0"/>
            <w:tcW w:w="2700" w:type="dxa"/>
            <w:shd w:val="clear" w:color="auto" w:fill="FFFFFF" w:themeFill="background1"/>
          </w:tcPr>
          <w:p w14:paraId="4C070999" w14:textId="77777777" w:rsidR="004F14EC" w:rsidRPr="003B1178" w:rsidRDefault="004F14EC" w:rsidP="00DB48ED">
            <w:pPr>
              <w:spacing w:line="204" w:lineRule="auto"/>
              <w:rPr>
                <w:rFonts w:ascii="Browallia New" w:hAnsi="Browallia New" w:cs="Browallia New"/>
                <w:sz w:val="16"/>
                <w:szCs w:val="16"/>
              </w:rPr>
            </w:pPr>
          </w:p>
          <w:p w14:paraId="4507FDF6" w14:textId="77777777" w:rsidR="004F14EC" w:rsidRPr="003B1178" w:rsidRDefault="004F14EC" w:rsidP="00DB48ED">
            <w:pPr>
              <w:spacing w:line="204" w:lineRule="auto"/>
              <w:rPr>
                <w:rFonts w:ascii="Browallia New" w:hAnsi="Browallia New" w:cs="Browallia New"/>
              </w:rPr>
            </w:pPr>
            <w:r w:rsidRPr="003B1178">
              <w:rPr>
                <w:rFonts w:ascii="Browallia New" w:hAnsi="Browallia New" w:cs="Browallia New"/>
              </w:rPr>
              <w:t>Unanticipated risk events affecting organization</w:t>
            </w:r>
          </w:p>
        </w:tc>
        <w:tc>
          <w:tcPr>
            <w:tcW w:w="990" w:type="dxa"/>
            <w:shd w:val="clear" w:color="auto" w:fill="FFFFFF" w:themeFill="background1"/>
          </w:tcPr>
          <w:p w14:paraId="5EA695DD" w14:textId="77777777" w:rsidR="004F14EC" w:rsidRPr="003B1178" w:rsidRDefault="004F14EC" w:rsidP="00DB48E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37D034C6" w14:textId="77777777" w:rsidR="004F14EC" w:rsidRPr="003B1178" w:rsidRDefault="004F14EC" w:rsidP="00DB48E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35%</w:t>
            </w:r>
          </w:p>
        </w:tc>
        <w:tc>
          <w:tcPr>
            <w:tcW w:w="1440" w:type="dxa"/>
            <w:shd w:val="clear" w:color="auto" w:fill="FFFFFF" w:themeFill="background1"/>
          </w:tcPr>
          <w:p w14:paraId="49856293" w14:textId="77777777" w:rsidR="004F14EC" w:rsidRPr="003B1178" w:rsidRDefault="004F14EC" w:rsidP="00DB48E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1D2388A8" w14:textId="77777777" w:rsidR="004F14EC" w:rsidRPr="003B1178" w:rsidRDefault="004F14EC" w:rsidP="00DB48E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109" w:type="dxa"/>
            <w:shd w:val="clear" w:color="auto" w:fill="FFFFFF" w:themeFill="background1"/>
          </w:tcPr>
          <w:p w14:paraId="773E540B"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2D2B20FC"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40%</w:t>
            </w:r>
          </w:p>
        </w:tc>
        <w:tc>
          <w:tcPr>
            <w:tcW w:w="1577" w:type="dxa"/>
            <w:shd w:val="clear" w:color="auto" w:fill="FFFFFF" w:themeFill="background1"/>
          </w:tcPr>
          <w:p w14:paraId="6A9D281B"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2A18755E"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34%</w:t>
            </w:r>
          </w:p>
        </w:tc>
        <w:tc>
          <w:tcPr>
            <w:tcW w:w="1524" w:type="dxa"/>
            <w:shd w:val="clear" w:color="auto" w:fill="FFFFFF" w:themeFill="background1"/>
          </w:tcPr>
          <w:p w14:paraId="075B5DA9"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5724CCF2"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r>
      <w:tr w:rsidR="004F14EC" w:rsidRPr="00F46D57" w14:paraId="52ED881A"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left w:val="none" w:sz="0" w:space="0" w:color="auto"/>
              <w:bottom w:val="none" w:sz="0" w:space="0" w:color="auto"/>
            </w:tcBorders>
            <w:shd w:val="clear" w:color="auto" w:fill="FFFFFF" w:themeFill="background1"/>
          </w:tcPr>
          <w:p w14:paraId="14DA443B" w14:textId="77777777" w:rsidR="004F14EC" w:rsidRPr="003B1178" w:rsidRDefault="004F14EC" w:rsidP="00B00B0B">
            <w:pPr>
              <w:spacing w:line="204" w:lineRule="auto"/>
              <w:rPr>
                <w:rFonts w:ascii="Browallia New" w:hAnsi="Browallia New" w:cs="Browallia New"/>
                <w:sz w:val="16"/>
                <w:szCs w:val="16"/>
              </w:rPr>
            </w:pPr>
          </w:p>
          <w:p w14:paraId="14784B0D" w14:textId="77777777" w:rsidR="004F14EC" w:rsidRPr="003B1178" w:rsidRDefault="004F14EC" w:rsidP="00B00B0B">
            <w:pPr>
              <w:spacing w:line="204" w:lineRule="auto"/>
              <w:rPr>
                <w:rFonts w:ascii="Browallia New" w:hAnsi="Browallia New" w:cs="Browallia New"/>
              </w:rPr>
            </w:pPr>
            <w:r w:rsidRPr="003B1178">
              <w:rPr>
                <w:rFonts w:ascii="Browallia New" w:hAnsi="Browallia New" w:cs="Browallia New"/>
              </w:rPr>
              <w:t>Emerging best practice expectations</w:t>
            </w:r>
          </w:p>
          <w:p w14:paraId="65E3ED5D" w14:textId="77777777" w:rsidR="004F14EC" w:rsidRPr="003B1178" w:rsidRDefault="004F14EC" w:rsidP="00B00B0B">
            <w:pPr>
              <w:spacing w:line="204" w:lineRule="auto"/>
              <w:rPr>
                <w:rFonts w:ascii="Browallia New" w:hAnsi="Browallia New" w:cs="Browallia New"/>
                <w:sz w:val="16"/>
                <w:szCs w:val="16"/>
              </w:rPr>
            </w:pPr>
          </w:p>
        </w:tc>
        <w:tc>
          <w:tcPr>
            <w:tcW w:w="990" w:type="dxa"/>
            <w:tcBorders>
              <w:top w:val="none" w:sz="0" w:space="0" w:color="auto"/>
              <w:bottom w:val="none" w:sz="0" w:space="0" w:color="auto"/>
            </w:tcBorders>
            <w:shd w:val="clear" w:color="auto" w:fill="FFFFFF" w:themeFill="background1"/>
          </w:tcPr>
          <w:p w14:paraId="7415F91A"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0A023F01"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440" w:type="dxa"/>
            <w:tcBorders>
              <w:top w:val="none" w:sz="0" w:space="0" w:color="auto"/>
              <w:bottom w:val="none" w:sz="0" w:space="0" w:color="auto"/>
            </w:tcBorders>
            <w:shd w:val="clear" w:color="auto" w:fill="FFFFFF" w:themeFill="background1"/>
          </w:tcPr>
          <w:p w14:paraId="1337B3DA"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AFB654C"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38%</w:t>
            </w:r>
          </w:p>
        </w:tc>
        <w:tc>
          <w:tcPr>
            <w:tcW w:w="1109" w:type="dxa"/>
            <w:tcBorders>
              <w:top w:val="none" w:sz="0" w:space="0" w:color="auto"/>
              <w:bottom w:val="none" w:sz="0" w:space="0" w:color="auto"/>
            </w:tcBorders>
            <w:shd w:val="clear" w:color="auto" w:fill="FFFFFF" w:themeFill="background1"/>
          </w:tcPr>
          <w:p w14:paraId="7969E9CD"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F3B4B77"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38%</w:t>
            </w:r>
          </w:p>
        </w:tc>
        <w:tc>
          <w:tcPr>
            <w:tcW w:w="1577" w:type="dxa"/>
            <w:tcBorders>
              <w:top w:val="none" w:sz="0" w:space="0" w:color="auto"/>
              <w:bottom w:val="none" w:sz="0" w:space="0" w:color="auto"/>
            </w:tcBorders>
            <w:shd w:val="clear" w:color="auto" w:fill="FFFFFF" w:themeFill="background1"/>
          </w:tcPr>
          <w:p w14:paraId="50CB06F2"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17D64F5A"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44%</w:t>
            </w:r>
          </w:p>
        </w:tc>
        <w:tc>
          <w:tcPr>
            <w:tcW w:w="1524" w:type="dxa"/>
            <w:tcBorders>
              <w:top w:val="none" w:sz="0" w:space="0" w:color="auto"/>
              <w:bottom w:val="none" w:sz="0" w:space="0" w:color="auto"/>
              <w:right w:val="none" w:sz="0" w:space="0" w:color="auto"/>
            </w:tcBorders>
            <w:shd w:val="clear" w:color="auto" w:fill="FFFFFF" w:themeFill="background1"/>
          </w:tcPr>
          <w:p w14:paraId="13AEF695"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3A365F29"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53%</w:t>
            </w:r>
          </w:p>
        </w:tc>
      </w:tr>
      <w:tr w:rsidR="004F14EC" w:rsidRPr="00F46D57" w14:paraId="00E0CE4B" w14:textId="77777777" w:rsidTr="00F6494D">
        <w:trPr>
          <w:trHeight w:val="556"/>
        </w:trPr>
        <w:tc>
          <w:tcPr>
            <w:cnfStyle w:val="001000000000" w:firstRow="0" w:lastRow="0" w:firstColumn="1" w:lastColumn="0" w:oddVBand="0" w:evenVBand="0" w:oddHBand="0" w:evenHBand="0" w:firstRowFirstColumn="0" w:firstRowLastColumn="0" w:lastRowFirstColumn="0" w:lastRowLastColumn="0"/>
            <w:tcW w:w="2700" w:type="dxa"/>
            <w:shd w:val="clear" w:color="auto" w:fill="FFFFFF" w:themeFill="background1"/>
          </w:tcPr>
          <w:p w14:paraId="7D8B2FF9" w14:textId="77777777" w:rsidR="004F14EC" w:rsidRPr="003B1178" w:rsidRDefault="004F14EC" w:rsidP="00B00B0B">
            <w:pPr>
              <w:spacing w:line="204" w:lineRule="auto"/>
              <w:rPr>
                <w:rFonts w:ascii="Browallia New" w:hAnsi="Browallia New" w:cs="Browallia New"/>
              </w:rPr>
            </w:pPr>
            <w:r w:rsidRPr="003B1178">
              <w:rPr>
                <w:rFonts w:ascii="Browallia New" w:hAnsi="Browallia New" w:cs="Browallia New"/>
              </w:rPr>
              <w:t>Emerging corporate governance requirements</w:t>
            </w:r>
          </w:p>
          <w:p w14:paraId="5FBC5E30" w14:textId="77777777" w:rsidR="004F14EC" w:rsidRPr="003B1178" w:rsidRDefault="004F14EC" w:rsidP="00E12ABA">
            <w:pPr>
              <w:rPr>
                <w:rFonts w:ascii="Browallia New" w:hAnsi="Browallia New" w:cs="Browallia New"/>
                <w:sz w:val="16"/>
                <w:szCs w:val="16"/>
              </w:rPr>
            </w:pPr>
          </w:p>
        </w:tc>
        <w:tc>
          <w:tcPr>
            <w:tcW w:w="990" w:type="dxa"/>
            <w:shd w:val="clear" w:color="auto" w:fill="FFFFFF" w:themeFill="background1"/>
          </w:tcPr>
          <w:p w14:paraId="587645A8"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28%</w:t>
            </w:r>
          </w:p>
        </w:tc>
        <w:tc>
          <w:tcPr>
            <w:tcW w:w="1440" w:type="dxa"/>
            <w:shd w:val="clear" w:color="auto" w:fill="FFFFFF" w:themeFill="background1"/>
          </w:tcPr>
          <w:p w14:paraId="4C5B1F4A"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28%</w:t>
            </w:r>
          </w:p>
        </w:tc>
        <w:tc>
          <w:tcPr>
            <w:tcW w:w="1109" w:type="dxa"/>
            <w:shd w:val="clear" w:color="auto" w:fill="FFFFFF" w:themeFill="background1"/>
          </w:tcPr>
          <w:p w14:paraId="5ECC2AE1"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34%</w:t>
            </w:r>
          </w:p>
        </w:tc>
        <w:tc>
          <w:tcPr>
            <w:tcW w:w="1577" w:type="dxa"/>
            <w:shd w:val="clear" w:color="auto" w:fill="FFFFFF" w:themeFill="background1"/>
          </w:tcPr>
          <w:p w14:paraId="5995E123"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524" w:type="dxa"/>
            <w:shd w:val="clear" w:color="auto" w:fill="FFFFFF" w:themeFill="background1"/>
          </w:tcPr>
          <w:p w14:paraId="65EAEF07" w14:textId="77777777" w:rsidR="004F14EC" w:rsidRPr="003B1178" w:rsidRDefault="004F14EC" w:rsidP="00E12ABA">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24%</w:t>
            </w:r>
          </w:p>
        </w:tc>
      </w:tr>
      <w:tr w:rsidR="004F14EC" w:rsidRPr="00F46D57" w14:paraId="6CCACD72"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left w:val="none" w:sz="0" w:space="0" w:color="auto"/>
              <w:bottom w:val="none" w:sz="0" w:space="0" w:color="auto"/>
            </w:tcBorders>
            <w:shd w:val="clear" w:color="auto" w:fill="FFFFFF" w:themeFill="background1"/>
          </w:tcPr>
          <w:p w14:paraId="4B56B231" w14:textId="77777777" w:rsidR="004F14EC" w:rsidRPr="003B1178" w:rsidRDefault="004F14EC" w:rsidP="00E12ABA">
            <w:pPr>
              <w:rPr>
                <w:rFonts w:ascii="Browallia New" w:hAnsi="Browallia New" w:cs="Browallia New"/>
              </w:rPr>
            </w:pPr>
            <w:r w:rsidRPr="003B1178">
              <w:rPr>
                <w:rFonts w:ascii="Browallia New" w:hAnsi="Browallia New" w:cs="Browallia New"/>
              </w:rPr>
              <w:t>Board of Director requests</w:t>
            </w:r>
          </w:p>
        </w:tc>
        <w:tc>
          <w:tcPr>
            <w:tcW w:w="990" w:type="dxa"/>
            <w:tcBorders>
              <w:top w:val="none" w:sz="0" w:space="0" w:color="auto"/>
              <w:bottom w:val="none" w:sz="0" w:space="0" w:color="auto"/>
            </w:tcBorders>
            <w:shd w:val="clear" w:color="auto" w:fill="FFFFFF" w:themeFill="background1"/>
          </w:tcPr>
          <w:p w14:paraId="57FEDC50"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c>
          <w:tcPr>
            <w:tcW w:w="1440" w:type="dxa"/>
            <w:tcBorders>
              <w:top w:val="none" w:sz="0" w:space="0" w:color="auto"/>
              <w:bottom w:val="none" w:sz="0" w:space="0" w:color="auto"/>
            </w:tcBorders>
            <w:shd w:val="clear" w:color="auto" w:fill="FFFFFF" w:themeFill="background1"/>
          </w:tcPr>
          <w:p w14:paraId="6756DE8C"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43%</w:t>
            </w:r>
          </w:p>
        </w:tc>
        <w:tc>
          <w:tcPr>
            <w:tcW w:w="1109" w:type="dxa"/>
            <w:tcBorders>
              <w:top w:val="none" w:sz="0" w:space="0" w:color="auto"/>
              <w:bottom w:val="none" w:sz="0" w:space="0" w:color="auto"/>
            </w:tcBorders>
            <w:shd w:val="clear" w:color="auto" w:fill="FFFFFF" w:themeFill="background1"/>
          </w:tcPr>
          <w:p w14:paraId="0AA499DF"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49%</w:t>
            </w:r>
          </w:p>
        </w:tc>
        <w:tc>
          <w:tcPr>
            <w:tcW w:w="1577" w:type="dxa"/>
            <w:tcBorders>
              <w:top w:val="none" w:sz="0" w:space="0" w:color="auto"/>
              <w:bottom w:val="none" w:sz="0" w:space="0" w:color="auto"/>
            </w:tcBorders>
            <w:shd w:val="clear" w:color="auto" w:fill="FFFFFF" w:themeFill="background1"/>
          </w:tcPr>
          <w:p w14:paraId="67AFC0E6"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36%</w:t>
            </w:r>
          </w:p>
        </w:tc>
        <w:tc>
          <w:tcPr>
            <w:tcW w:w="1524" w:type="dxa"/>
            <w:tcBorders>
              <w:top w:val="none" w:sz="0" w:space="0" w:color="auto"/>
              <w:bottom w:val="none" w:sz="0" w:space="0" w:color="auto"/>
              <w:right w:val="none" w:sz="0" w:space="0" w:color="auto"/>
            </w:tcBorders>
            <w:shd w:val="clear" w:color="auto" w:fill="FFFFFF" w:themeFill="background1"/>
          </w:tcPr>
          <w:p w14:paraId="5C881CEE" w14:textId="77777777" w:rsidR="004F14EC" w:rsidRPr="003B1178" w:rsidRDefault="004F14EC" w:rsidP="00E12ABA">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25%</w:t>
            </w:r>
          </w:p>
        </w:tc>
      </w:tr>
    </w:tbl>
    <w:p w14:paraId="3B387956" w14:textId="77777777" w:rsidR="00DA236B" w:rsidRPr="00F46D57" w:rsidRDefault="00D059B7" w:rsidP="0059711E">
      <w:pPr>
        <w:spacing w:before="240" w:line="204" w:lineRule="auto"/>
        <w:jc w:val="both"/>
        <w:rPr>
          <w:rFonts w:ascii="Browallia New" w:hAnsi="Browallia New" w:cs="Browallia New"/>
          <w:color w:val="C00000"/>
          <w:sz w:val="36"/>
          <w:szCs w:val="36"/>
        </w:rPr>
      </w:pPr>
      <w:r>
        <w:rPr>
          <w:rFonts w:ascii="Browallia New" w:hAnsi="Browallia New" w:cs="Browallia New"/>
          <w:sz w:val="28"/>
          <w:szCs w:val="28"/>
        </w:rPr>
        <w:t xml:space="preserve">The above table highlights that there are </w:t>
      </w:r>
      <w:proofErr w:type="gramStart"/>
      <w:r>
        <w:rPr>
          <w:rFonts w:ascii="Browallia New" w:hAnsi="Browallia New" w:cs="Browallia New"/>
          <w:sz w:val="28"/>
          <w:szCs w:val="28"/>
        </w:rPr>
        <w:t>a number of</w:t>
      </w:r>
      <w:proofErr w:type="gramEnd"/>
      <w:r>
        <w:rPr>
          <w:rFonts w:ascii="Browallia New" w:hAnsi="Browallia New" w:cs="Browallia New"/>
          <w:sz w:val="28"/>
          <w:szCs w:val="28"/>
        </w:rPr>
        <w:t xml:space="preserve"> drivers for enhanc</w:t>
      </w:r>
      <w:r w:rsidR="0059711E">
        <w:rPr>
          <w:rFonts w:ascii="Browallia New" w:hAnsi="Browallia New" w:cs="Browallia New"/>
          <w:sz w:val="28"/>
          <w:szCs w:val="28"/>
        </w:rPr>
        <w:t xml:space="preserve">ed risk management activities. </w:t>
      </w:r>
      <w:r>
        <w:rPr>
          <w:rFonts w:ascii="Browallia New" w:hAnsi="Browallia New" w:cs="Browallia New"/>
          <w:sz w:val="28"/>
          <w:szCs w:val="28"/>
        </w:rPr>
        <w:t>We did note, however,</w:t>
      </w:r>
      <w:r w:rsidR="00D713AC">
        <w:rPr>
          <w:rFonts w:ascii="Browallia New" w:hAnsi="Browallia New" w:cs="Browallia New"/>
          <w:sz w:val="28"/>
          <w:szCs w:val="28"/>
        </w:rPr>
        <w:t xml:space="preserve"> reduction in some of these per</w:t>
      </w:r>
      <w:r w:rsidR="0059711E">
        <w:rPr>
          <w:rFonts w:ascii="Browallia New" w:hAnsi="Browallia New" w:cs="Browallia New"/>
          <w:sz w:val="28"/>
          <w:szCs w:val="28"/>
        </w:rPr>
        <w:t xml:space="preserve">centages for the current year. </w:t>
      </w:r>
      <w:r w:rsidR="00D713AC">
        <w:rPr>
          <w:rFonts w:ascii="Browallia New" w:hAnsi="Browallia New" w:cs="Browallia New"/>
          <w:sz w:val="28"/>
          <w:szCs w:val="28"/>
        </w:rPr>
        <w:t xml:space="preserve">For example, regulatory demands </w:t>
      </w:r>
      <w:r>
        <w:rPr>
          <w:rFonts w:ascii="Browallia New" w:hAnsi="Browallia New" w:cs="Browallia New"/>
          <w:sz w:val="28"/>
          <w:szCs w:val="28"/>
        </w:rPr>
        <w:t xml:space="preserve">for financial services </w:t>
      </w:r>
      <w:r w:rsidR="00D713AC">
        <w:rPr>
          <w:rFonts w:ascii="Browallia New" w:hAnsi="Browallia New" w:cs="Browallia New"/>
          <w:sz w:val="28"/>
          <w:szCs w:val="28"/>
        </w:rPr>
        <w:t xml:space="preserve">of 50% </w:t>
      </w:r>
      <w:r>
        <w:rPr>
          <w:rFonts w:ascii="Browallia New" w:hAnsi="Browallia New" w:cs="Browallia New"/>
          <w:sz w:val="28"/>
          <w:szCs w:val="28"/>
        </w:rPr>
        <w:t>in the current year</w:t>
      </w:r>
      <w:r w:rsidR="00D713AC">
        <w:rPr>
          <w:rFonts w:ascii="Browallia New" w:hAnsi="Browallia New" w:cs="Browallia New"/>
          <w:sz w:val="28"/>
          <w:szCs w:val="28"/>
        </w:rPr>
        <w:t xml:space="preserve"> </w:t>
      </w:r>
      <w:proofErr w:type="gramStart"/>
      <w:r>
        <w:rPr>
          <w:rFonts w:ascii="Browallia New" w:hAnsi="Browallia New" w:cs="Browallia New"/>
          <w:sz w:val="28"/>
          <w:szCs w:val="28"/>
        </w:rPr>
        <w:t>is</w:t>
      </w:r>
      <w:proofErr w:type="gramEnd"/>
      <w:r>
        <w:rPr>
          <w:rFonts w:ascii="Browallia New" w:hAnsi="Browallia New" w:cs="Browallia New"/>
          <w:sz w:val="28"/>
          <w:szCs w:val="28"/>
        </w:rPr>
        <w:t xml:space="preserve"> noticeably lower than the 66% </w:t>
      </w:r>
      <w:r w:rsidR="00D713AC">
        <w:rPr>
          <w:rFonts w:ascii="Browallia New" w:hAnsi="Browallia New" w:cs="Browallia New"/>
          <w:sz w:val="28"/>
          <w:szCs w:val="28"/>
        </w:rPr>
        <w:t>reported last</w:t>
      </w:r>
      <w:r>
        <w:rPr>
          <w:rFonts w:ascii="Browallia New" w:hAnsi="Browallia New" w:cs="Browallia New"/>
          <w:sz w:val="28"/>
          <w:szCs w:val="28"/>
        </w:rPr>
        <w:t xml:space="preserve"> year</w:t>
      </w:r>
      <w:r w:rsidR="0059711E">
        <w:rPr>
          <w:rFonts w:ascii="Browallia New" w:hAnsi="Browallia New" w:cs="Browallia New"/>
          <w:sz w:val="28"/>
          <w:szCs w:val="28"/>
        </w:rPr>
        <w:t xml:space="preserve"> (not shown in the above table)</w:t>
      </w:r>
      <w:r>
        <w:rPr>
          <w:rFonts w:ascii="Browallia New" w:hAnsi="Browallia New" w:cs="Browallia New"/>
          <w:sz w:val="28"/>
          <w:szCs w:val="28"/>
        </w:rPr>
        <w:t xml:space="preserve">. This may </w:t>
      </w:r>
      <w:proofErr w:type="gramStart"/>
      <w:r>
        <w:rPr>
          <w:rFonts w:ascii="Browallia New" w:hAnsi="Browallia New" w:cs="Browallia New"/>
          <w:sz w:val="28"/>
          <w:szCs w:val="28"/>
        </w:rPr>
        <w:t>be a reflection of</w:t>
      </w:r>
      <w:proofErr w:type="gramEnd"/>
      <w:r>
        <w:rPr>
          <w:rFonts w:ascii="Browallia New" w:hAnsi="Browallia New" w:cs="Browallia New"/>
          <w:sz w:val="28"/>
          <w:szCs w:val="28"/>
        </w:rPr>
        <w:t xml:space="preserve"> the emphasis being placed by the current U.S. presidential administration on reducing some of the perceived regulatory burden affecting organizations</w:t>
      </w:r>
      <w:r w:rsidR="00D713AC">
        <w:rPr>
          <w:rFonts w:ascii="Browallia New" w:hAnsi="Browallia New" w:cs="Browallia New"/>
          <w:sz w:val="28"/>
          <w:szCs w:val="28"/>
        </w:rPr>
        <w:t xml:space="preserve">. </w:t>
      </w:r>
      <w:r w:rsidRPr="00F46D57">
        <w:rPr>
          <w:rFonts w:ascii="Browallia New" w:hAnsi="Browallia New" w:cs="Browallia New"/>
          <w:color w:val="C00000"/>
          <w:sz w:val="36"/>
          <w:szCs w:val="36"/>
        </w:rPr>
        <w:t xml:space="preserve"> </w:t>
      </w:r>
      <w:r w:rsidR="00DA236B" w:rsidRPr="00F46D57">
        <w:rPr>
          <w:rFonts w:ascii="Browallia New" w:hAnsi="Browallia New" w:cs="Browallia New"/>
          <w:color w:val="C00000"/>
          <w:sz w:val="36"/>
          <w:szCs w:val="36"/>
        </w:rPr>
        <w:br w:type="page"/>
      </w:r>
    </w:p>
    <w:p w14:paraId="0093B9E1" w14:textId="77777777" w:rsidR="003D1B2F" w:rsidRPr="00926C4D" w:rsidRDefault="0054728D" w:rsidP="00181B6D">
      <w:pPr>
        <w:pStyle w:val="Heading1"/>
      </w:pPr>
      <w:r>
        <w:lastRenderedPageBreak/>
        <w:t xml:space="preserve">NATURE OF </w:t>
      </w:r>
      <w:r w:rsidR="003D1280" w:rsidRPr="00926C4D">
        <w:t>RISK MANAGEMENT PROCESSES</w:t>
      </w:r>
      <w:r w:rsidR="006211B9">
        <w:t xml:space="preserve"> IN PLACE TODAY</w:t>
      </w:r>
    </w:p>
    <w:p w14:paraId="3E4E93DA" w14:textId="77777777" w:rsidR="000E557B" w:rsidRPr="00775C92" w:rsidRDefault="00815E7B" w:rsidP="00815E7B">
      <w:pPr>
        <w:pStyle w:val="ListParagraph"/>
        <w:numPr>
          <w:ilvl w:val="0"/>
          <w:numId w:val="37"/>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 xml:space="preserve">Risk management practices in most organizations </w:t>
      </w:r>
      <w:r w:rsidR="00D713AC">
        <w:rPr>
          <w:rFonts w:ascii="Browallia New" w:hAnsi="Browallia New" w:cs="Browallia New"/>
          <w:b/>
          <w:i/>
          <w:color w:val="0070C0"/>
          <w:sz w:val="28"/>
          <w:szCs w:val="28"/>
        </w:rPr>
        <w:t>remain</w:t>
      </w:r>
      <w:r w:rsidRPr="00775C92">
        <w:rPr>
          <w:rFonts w:ascii="Browallia New" w:hAnsi="Browallia New" w:cs="Browallia New"/>
          <w:b/>
          <w:i/>
          <w:color w:val="0070C0"/>
          <w:sz w:val="28"/>
          <w:szCs w:val="28"/>
        </w:rPr>
        <w:t xml:space="preserve"> relatively immature.</w:t>
      </w:r>
    </w:p>
    <w:p w14:paraId="678AE4FD" w14:textId="77777777" w:rsidR="00815E7B" w:rsidRPr="00775C92" w:rsidRDefault="00815E7B" w:rsidP="00815E7B">
      <w:pPr>
        <w:pStyle w:val="ListParagraph"/>
        <w:numPr>
          <w:ilvl w:val="0"/>
          <w:numId w:val="37"/>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Larger organizations, public companies, and financial services entities have more advanced risk management practices relative to other organizations.</w:t>
      </w:r>
    </w:p>
    <w:p w14:paraId="567FBE90" w14:textId="77777777" w:rsidR="00815E7B" w:rsidRPr="00775C92" w:rsidRDefault="00815E7B" w:rsidP="00815E7B">
      <w:pPr>
        <w:pStyle w:val="ListParagraph"/>
        <w:numPr>
          <w:ilvl w:val="0"/>
          <w:numId w:val="37"/>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The percentage of organizations implementing enterprise risk management (ERM) practices is increasing, although fewer than half of the organizations surveyed have complete ERM practices in place.</w:t>
      </w:r>
    </w:p>
    <w:p w14:paraId="7DBE6F6D" w14:textId="77777777" w:rsidR="0054728D" w:rsidRDefault="00536042" w:rsidP="0054728D">
      <w:pPr>
        <w:spacing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56544" behindDoc="0" locked="0" layoutInCell="0" allowOverlap="1" wp14:anchorId="159E0686" wp14:editId="6A6CFE52">
                <wp:simplePos x="0" y="0"/>
                <wp:positionH relativeFrom="margin">
                  <wp:posOffset>-1558</wp:posOffset>
                </wp:positionH>
                <wp:positionV relativeFrom="margin">
                  <wp:posOffset>2448560</wp:posOffset>
                </wp:positionV>
                <wp:extent cx="1911350" cy="831215"/>
                <wp:effectExtent l="19050" t="19050" r="12700" b="26035"/>
                <wp:wrapSquare wrapText="bothSides"/>
                <wp:docPr id="1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831215"/>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2A9B0A6C" w14:textId="77777777" w:rsidR="00206200" w:rsidRPr="003B1178" w:rsidRDefault="00206200" w:rsidP="0054728D">
                            <w:pPr>
                              <w:spacing w:line="192" w:lineRule="auto"/>
                              <w:jc w:val="center"/>
                              <w:rPr>
                                <w:rFonts w:ascii="Browallia New" w:hAnsi="Browallia New" w:cs="Browallia New"/>
                                <w:b/>
                                <w:i/>
                                <w:iCs/>
                                <w:color w:val="232D46" w:themeColor="accent6" w:themeShade="80"/>
                                <w:sz w:val="24"/>
                                <w:szCs w:val="24"/>
                              </w:rPr>
                            </w:pPr>
                            <w:r w:rsidRPr="003B1178">
                              <w:rPr>
                                <w:rFonts w:ascii="Browallia New" w:hAnsi="Browallia New" w:cs="Browallia New"/>
                                <w:b/>
                                <w:iCs/>
                                <w:color w:val="232D46" w:themeColor="accent6" w:themeShade="80"/>
                                <w:sz w:val="24"/>
                                <w:szCs w:val="24"/>
                              </w:rPr>
                              <w:t>Most organizations describe the level of ERM maturity as very immature to evolving.  Few describe their processes as robust.</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9E0686" id="AutoShape 107" o:spid="_x0000_s1030" style="position:absolute;left:0;text-align:left;margin-left:-.1pt;margin-top:192.8pt;width:150.5pt;height:65.4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" o:allowincell="f" fillcolor="#c48b01 [2405]" strokecolor="#1a6da6" strokeweight="3pt">
                <v:textbox inset="3.6pt,,3.6pt">
                  <w:txbxContent>
                    <w:p w14:paraId="2A9B0A6C" w14:textId="77777777" w:rsidR="00206200" w:rsidRPr="003B1178" w:rsidRDefault="00206200" w:rsidP="0054728D">
                      <w:pPr>
                        <w:spacing w:line="192" w:lineRule="auto"/>
                        <w:jc w:val="center"/>
                        <w:rPr>
                          <w:rFonts w:ascii="Browallia New" w:hAnsi="Browallia New" w:cs="Browallia New"/>
                          <w:b/>
                          <w:i/>
                          <w:iCs/>
                          <w:color w:val="232D46" w:themeColor="accent6" w:themeShade="80"/>
                          <w:sz w:val="24"/>
                          <w:szCs w:val="24"/>
                        </w:rPr>
                      </w:pPr>
                      <w:r w:rsidRPr="003B1178">
                        <w:rPr>
                          <w:rFonts w:ascii="Browallia New" w:hAnsi="Browallia New" w:cs="Browallia New"/>
                          <w:b/>
                          <w:iCs/>
                          <w:color w:val="232D46" w:themeColor="accent6" w:themeShade="80"/>
                          <w:sz w:val="24"/>
                          <w:szCs w:val="24"/>
                        </w:rPr>
                        <w:t>Most organizations describe the level of ERM maturity as very immature to evolving.  Few describe their processes as robust.</w:t>
                      </w:r>
                    </w:p>
                  </w:txbxContent>
                </v:textbox>
                <w10:wrap type="square" anchorx="margin" anchory="margin"/>
              </v:roundrect>
            </w:pict>
          </mc:Fallback>
        </mc:AlternateContent>
      </w:r>
      <w:r w:rsidR="0054728D" w:rsidRPr="0054728D">
        <w:rPr>
          <w:rFonts w:ascii="Browallia New" w:hAnsi="Browallia New" w:cs="Browallia New"/>
          <w:sz w:val="28"/>
          <w:szCs w:val="28"/>
        </w:rPr>
        <w:t xml:space="preserve">To get a sense for the overall </w:t>
      </w:r>
      <w:r w:rsidR="0054728D">
        <w:rPr>
          <w:rFonts w:ascii="Browallia New" w:hAnsi="Browallia New" w:cs="Browallia New"/>
          <w:sz w:val="28"/>
          <w:szCs w:val="28"/>
        </w:rPr>
        <w:t>sophis</w:t>
      </w:r>
      <w:r w:rsidR="0054728D" w:rsidRPr="0054728D">
        <w:rPr>
          <w:rFonts w:ascii="Browallia New" w:hAnsi="Browallia New" w:cs="Browallia New"/>
          <w:sz w:val="28"/>
          <w:szCs w:val="28"/>
        </w:rPr>
        <w:t xml:space="preserve">tication of risk management practices, we asked a series of questions to tease out the state of risk management practices in organizations </w:t>
      </w:r>
      <w:r w:rsidR="0054728D">
        <w:rPr>
          <w:rFonts w:ascii="Browallia New" w:hAnsi="Browallia New" w:cs="Browallia New"/>
          <w:sz w:val="28"/>
          <w:szCs w:val="28"/>
        </w:rPr>
        <w:t>today</w:t>
      </w:r>
      <w:r w:rsidR="0054728D" w:rsidRPr="0054728D">
        <w:rPr>
          <w:rFonts w:ascii="Browallia New" w:hAnsi="Browallia New" w:cs="Browallia New"/>
          <w:sz w:val="28"/>
          <w:szCs w:val="28"/>
        </w:rPr>
        <w:t xml:space="preserve">. </w:t>
      </w:r>
      <w:proofErr w:type="gramStart"/>
      <w:r w:rsidR="0054728D" w:rsidRPr="0054728D">
        <w:rPr>
          <w:rFonts w:ascii="Browallia New" w:hAnsi="Browallia New" w:cs="Browallia New"/>
          <w:sz w:val="28"/>
          <w:szCs w:val="28"/>
        </w:rPr>
        <w:t>In particular, we</w:t>
      </w:r>
      <w:proofErr w:type="gramEnd"/>
      <w:r w:rsidR="0054728D" w:rsidRPr="0054728D">
        <w:rPr>
          <w:rFonts w:ascii="Browallia New" w:hAnsi="Browallia New" w:cs="Browallia New"/>
          <w:sz w:val="28"/>
          <w:szCs w:val="28"/>
        </w:rPr>
        <w:t xml:space="preserve"> asked respondents to provide their assessment of the overall level of their organization’s risk management maturity using a scale that ranges from “very immature” to “robust.” We found that the level of sophistication of underlying risk </w:t>
      </w:r>
      <w:proofErr w:type="gramStart"/>
      <w:r w:rsidR="0054728D" w:rsidRPr="0054728D">
        <w:rPr>
          <w:rFonts w:ascii="Browallia New" w:hAnsi="Browallia New" w:cs="Browallia New"/>
          <w:sz w:val="28"/>
          <w:szCs w:val="28"/>
        </w:rPr>
        <w:t>management processes</w:t>
      </w:r>
      <w:proofErr w:type="gramEnd"/>
      <w:r w:rsidR="0054728D" w:rsidRPr="0054728D">
        <w:rPr>
          <w:rFonts w:ascii="Browallia New" w:hAnsi="Browallia New" w:cs="Browallia New"/>
          <w:sz w:val="28"/>
          <w:szCs w:val="28"/>
        </w:rPr>
        <w:t xml:space="preserve"> </w:t>
      </w:r>
      <w:proofErr w:type="gramStart"/>
      <w:r w:rsidR="0054728D" w:rsidRPr="0054728D">
        <w:rPr>
          <w:rFonts w:ascii="Browallia New" w:hAnsi="Browallia New" w:cs="Browallia New"/>
          <w:sz w:val="28"/>
          <w:szCs w:val="28"/>
        </w:rPr>
        <w:t>still remains</w:t>
      </w:r>
      <w:proofErr w:type="gramEnd"/>
      <w:r w:rsidR="0054728D" w:rsidRPr="0054728D">
        <w:rPr>
          <w:rFonts w:ascii="Browallia New" w:hAnsi="Browallia New" w:cs="Browallia New"/>
          <w:sz w:val="28"/>
          <w:szCs w:val="28"/>
        </w:rPr>
        <w:t xml:space="preserve"> </w:t>
      </w:r>
      <w:proofErr w:type="gramStart"/>
      <w:r w:rsidR="0054728D" w:rsidRPr="0054728D">
        <w:rPr>
          <w:rFonts w:ascii="Browallia New" w:hAnsi="Browallia New" w:cs="Browallia New"/>
          <w:sz w:val="28"/>
          <w:szCs w:val="28"/>
        </w:rPr>
        <w:t>fairly immature</w:t>
      </w:r>
      <w:proofErr w:type="gramEnd"/>
      <w:r w:rsidR="0054728D" w:rsidRPr="0054728D">
        <w:rPr>
          <w:rFonts w:ascii="Browallia New" w:hAnsi="Browallia New" w:cs="Browallia New"/>
          <w:sz w:val="28"/>
          <w:szCs w:val="28"/>
        </w:rPr>
        <w:t xml:space="preserve"> for about one-third of those responding to our survey. When asked to describe the level of maturity of their organization’s approach to risk oversight, we found that 16% described their organization’s level of functioning ERM processes as “very immature” and an additional 23% described their risk oversight as “developing.” So, on a combined basis 39</w:t>
      </w:r>
      <w:proofErr w:type="gramStart"/>
      <w:r w:rsidR="0054728D" w:rsidRPr="0054728D">
        <w:rPr>
          <w:rFonts w:ascii="Browallia New" w:hAnsi="Browallia New" w:cs="Browallia New"/>
          <w:sz w:val="28"/>
          <w:szCs w:val="28"/>
        </w:rPr>
        <w:t>% self-</w:t>
      </w:r>
      <w:proofErr w:type="gramEnd"/>
      <w:r w:rsidR="0054728D" w:rsidRPr="0054728D">
        <w:rPr>
          <w:rFonts w:ascii="Browallia New" w:hAnsi="Browallia New" w:cs="Browallia New"/>
          <w:sz w:val="28"/>
          <w:szCs w:val="28"/>
        </w:rPr>
        <w:t>describe the sophistication of their risk oversight as immature to developing (this is mostly unchange</w:t>
      </w:r>
      <w:r w:rsidR="00B00B0B">
        <w:rPr>
          <w:rFonts w:ascii="Browallia New" w:hAnsi="Browallia New" w:cs="Browallia New"/>
          <w:sz w:val="28"/>
          <w:szCs w:val="28"/>
        </w:rPr>
        <w:t>d from the 3</w:t>
      </w:r>
      <w:r w:rsidR="0054728D" w:rsidRPr="0054728D">
        <w:rPr>
          <w:rFonts w:ascii="Browallia New" w:hAnsi="Browallia New" w:cs="Browallia New"/>
          <w:sz w:val="28"/>
          <w:szCs w:val="28"/>
        </w:rPr>
        <w:t xml:space="preserve">8% reported in our prior year study). Only 5% responded that their organization’s risk oversight was “robust,” consistent with responses noted in prior reports. </w:t>
      </w:r>
    </w:p>
    <w:p w14:paraId="6814E929" w14:textId="43B463A4" w:rsidR="00F6494D" w:rsidRPr="00F6494D" w:rsidRDefault="00F6494D" w:rsidP="0054728D">
      <w:pPr>
        <w:spacing w:line="204" w:lineRule="auto"/>
        <w:jc w:val="both"/>
        <w:rPr>
          <w:b/>
          <w:bCs/>
          <w:smallCaps/>
          <w:color w:val="3891A7" w:themeColor="accent1"/>
          <w:spacing w:val="5"/>
        </w:rPr>
      </w:pPr>
      <w:r w:rsidRPr="00F6494D">
        <w:rPr>
          <w:rStyle w:val="IntenseReference"/>
          <w:color w:val="auto"/>
        </w:rPr>
        <w:t>PERCENTAGE OF RESPONDENTS</w:t>
      </w:r>
    </w:p>
    <w:tbl>
      <w:tblPr>
        <w:tblStyle w:val="ListTable3-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1079"/>
        <w:gridCol w:w="1170"/>
        <w:gridCol w:w="1259"/>
        <w:gridCol w:w="1259"/>
        <w:gridCol w:w="1259"/>
      </w:tblGrid>
      <w:tr w:rsidR="00B511F9" w:rsidRPr="00F46D57" w14:paraId="421607B1"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tcBorders>
              <w:bottom w:val="none" w:sz="0" w:space="0" w:color="auto"/>
              <w:right w:val="none" w:sz="0" w:space="0" w:color="auto"/>
            </w:tcBorders>
            <w:shd w:val="clear" w:color="auto" w:fill="A6A6A6" w:themeFill="background1" w:themeFillShade="A6"/>
          </w:tcPr>
          <w:p w14:paraId="769E3D54" w14:textId="77777777" w:rsidR="00B511F9" w:rsidRPr="003B1178" w:rsidRDefault="00B511F9" w:rsidP="00B511F9">
            <w:pPr>
              <w:spacing w:line="192" w:lineRule="auto"/>
              <w:rPr>
                <w:rFonts w:ascii="Browallia New" w:hAnsi="Browallia New" w:cs="Browallia New"/>
                <w:color w:val="auto"/>
              </w:rPr>
            </w:pPr>
            <w:r w:rsidRPr="003B1178">
              <w:rPr>
                <w:rFonts w:ascii="Browallia New" w:hAnsi="Browallia New" w:cs="Browallia New"/>
                <w:color w:val="auto"/>
              </w:rPr>
              <w:t xml:space="preserve">What is the level of maturity of your </w:t>
            </w:r>
            <w:r w:rsidRPr="003B1178">
              <w:rPr>
                <w:rFonts w:ascii="Browallia New" w:hAnsi="Browallia New" w:cs="Browallia New"/>
                <w:color w:val="auto"/>
                <w:u w:val="single"/>
              </w:rPr>
              <w:t>organization’s risk management oversight?</w:t>
            </w:r>
          </w:p>
        </w:tc>
        <w:tc>
          <w:tcPr>
            <w:tcW w:w="1080" w:type="dxa"/>
            <w:shd w:val="clear" w:color="auto" w:fill="A6A6A6" w:themeFill="background1" w:themeFillShade="A6"/>
          </w:tcPr>
          <w:p w14:paraId="2FA3B9F3"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rPr>
              <w:t xml:space="preserve">Very </w:t>
            </w:r>
            <w:r w:rsidRPr="003B1178">
              <w:rPr>
                <w:rFonts w:ascii="Browallia New" w:hAnsi="Browallia New" w:cs="Browallia New"/>
                <w:color w:val="auto"/>
                <w:u w:val="single"/>
              </w:rPr>
              <w:t>Immature</w:t>
            </w:r>
          </w:p>
        </w:tc>
        <w:tc>
          <w:tcPr>
            <w:tcW w:w="1170" w:type="dxa"/>
            <w:shd w:val="clear" w:color="auto" w:fill="A6A6A6" w:themeFill="background1" w:themeFillShade="A6"/>
          </w:tcPr>
          <w:p w14:paraId="372171A0"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p>
          <w:p w14:paraId="1910D281"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Developing</w:t>
            </w:r>
          </w:p>
        </w:tc>
        <w:tc>
          <w:tcPr>
            <w:tcW w:w="1260" w:type="dxa"/>
            <w:shd w:val="clear" w:color="auto" w:fill="A6A6A6" w:themeFill="background1" w:themeFillShade="A6"/>
          </w:tcPr>
          <w:p w14:paraId="35686E5D"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p>
          <w:p w14:paraId="025EB4EA"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Evolving</w:t>
            </w:r>
          </w:p>
        </w:tc>
        <w:tc>
          <w:tcPr>
            <w:tcW w:w="1260" w:type="dxa"/>
            <w:shd w:val="clear" w:color="auto" w:fill="A6A6A6" w:themeFill="background1" w:themeFillShade="A6"/>
          </w:tcPr>
          <w:p w14:paraId="064F214B"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p>
          <w:p w14:paraId="24BCFB23"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Mature</w:t>
            </w:r>
          </w:p>
        </w:tc>
        <w:tc>
          <w:tcPr>
            <w:tcW w:w="1260" w:type="dxa"/>
            <w:shd w:val="clear" w:color="auto" w:fill="A6A6A6" w:themeFill="background1" w:themeFillShade="A6"/>
          </w:tcPr>
          <w:p w14:paraId="00FB43BA"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p>
          <w:p w14:paraId="4261EEE1" w14:textId="77777777" w:rsidR="00B511F9" w:rsidRPr="003B1178" w:rsidRDefault="00B511F9" w:rsidP="00B511F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Robust</w:t>
            </w:r>
          </w:p>
        </w:tc>
      </w:tr>
      <w:tr w:rsidR="00B511F9" w:rsidRPr="00F46D57" w14:paraId="0D9E33A5"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bottom w:val="none" w:sz="0" w:space="0" w:color="auto"/>
              <w:right w:val="none" w:sz="0" w:space="0" w:color="auto"/>
            </w:tcBorders>
          </w:tcPr>
          <w:p w14:paraId="6231E5BE" w14:textId="77777777" w:rsidR="00B511F9" w:rsidRPr="003B1178" w:rsidRDefault="00B511F9" w:rsidP="00B511F9">
            <w:pPr>
              <w:rPr>
                <w:rFonts w:ascii="Browallia New" w:hAnsi="Browallia New" w:cs="Browallia New"/>
              </w:rPr>
            </w:pPr>
            <w:r w:rsidRPr="003B1178">
              <w:rPr>
                <w:rFonts w:ascii="Browallia New" w:hAnsi="Browallia New" w:cs="Browallia New"/>
              </w:rPr>
              <w:t>Full Sample</w:t>
            </w:r>
          </w:p>
        </w:tc>
        <w:tc>
          <w:tcPr>
            <w:tcW w:w="1080" w:type="dxa"/>
            <w:tcBorders>
              <w:top w:val="none" w:sz="0" w:space="0" w:color="auto"/>
              <w:bottom w:val="none" w:sz="0" w:space="0" w:color="auto"/>
            </w:tcBorders>
            <w:shd w:val="clear" w:color="auto" w:fill="FFFFFF" w:themeFill="background1"/>
          </w:tcPr>
          <w:p w14:paraId="2F479F10"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16%</w:t>
            </w:r>
          </w:p>
        </w:tc>
        <w:tc>
          <w:tcPr>
            <w:tcW w:w="1170" w:type="dxa"/>
            <w:tcBorders>
              <w:top w:val="none" w:sz="0" w:space="0" w:color="auto"/>
              <w:bottom w:val="none" w:sz="0" w:space="0" w:color="auto"/>
            </w:tcBorders>
            <w:shd w:val="clear" w:color="auto" w:fill="FFFFFF" w:themeFill="background1"/>
          </w:tcPr>
          <w:p w14:paraId="69ADF802"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23%</w:t>
            </w:r>
          </w:p>
        </w:tc>
        <w:tc>
          <w:tcPr>
            <w:tcW w:w="1260" w:type="dxa"/>
            <w:tcBorders>
              <w:top w:val="none" w:sz="0" w:space="0" w:color="auto"/>
              <w:bottom w:val="none" w:sz="0" w:space="0" w:color="auto"/>
            </w:tcBorders>
            <w:shd w:val="clear" w:color="auto" w:fill="FFFFFF" w:themeFill="background1"/>
          </w:tcPr>
          <w:p w14:paraId="521064B4"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260" w:type="dxa"/>
            <w:tcBorders>
              <w:top w:val="none" w:sz="0" w:space="0" w:color="auto"/>
              <w:bottom w:val="none" w:sz="0" w:space="0" w:color="auto"/>
            </w:tcBorders>
            <w:shd w:val="clear" w:color="auto" w:fill="FFFFFF" w:themeFill="background1"/>
          </w:tcPr>
          <w:p w14:paraId="59F43085" w14:textId="77777777" w:rsidR="00B511F9" w:rsidRPr="003B1178" w:rsidRDefault="00B511F9" w:rsidP="00B00B0B">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w:t>
            </w:r>
            <w:r w:rsidR="00B00B0B" w:rsidRPr="003B1178">
              <w:rPr>
                <w:rFonts w:ascii="Browallia New" w:hAnsi="Browallia New" w:cs="Browallia New"/>
                <w:b/>
              </w:rPr>
              <w:t>7</w:t>
            </w:r>
            <w:r w:rsidRPr="003B1178">
              <w:rPr>
                <w:rFonts w:ascii="Browallia New" w:hAnsi="Browallia New" w:cs="Browallia New"/>
                <w:b/>
              </w:rPr>
              <w:t>%</w:t>
            </w:r>
          </w:p>
        </w:tc>
        <w:tc>
          <w:tcPr>
            <w:tcW w:w="1260" w:type="dxa"/>
            <w:tcBorders>
              <w:top w:val="none" w:sz="0" w:space="0" w:color="auto"/>
              <w:bottom w:val="none" w:sz="0" w:space="0" w:color="auto"/>
            </w:tcBorders>
            <w:shd w:val="clear" w:color="auto" w:fill="FFFFFF" w:themeFill="background1"/>
          </w:tcPr>
          <w:p w14:paraId="07F64413"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w:t>
            </w:r>
          </w:p>
        </w:tc>
      </w:tr>
      <w:tr w:rsidR="00B511F9" w:rsidRPr="00F46D57" w14:paraId="2EE08F83" w14:textId="77777777" w:rsidTr="00F6494D">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14:paraId="092FF0E6" w14:textId="77777777" w:rsidR="00B511F9" w:rsidRPr="003B1178" w:rsidRDefault="00B511F9" w:rsidP="00B511F9">
            <w:pPr>
              <w:rPr>
                <w:rFonts w:ascii="Browallia New" w:hAnsi="Browallia New" w:cs="Browallia New"/>
              </w:rPr>
            </w:pPr>
            <w:r w:rsidRPr="003B1178">
              <w:rPr>
                <w:rFonts w:ascii="Browallia New" w:hAnsi="Browallia New" w:cs="Browallia New"/>
              </w:rPr>
              <w:t>Largest Organizations</w:t>
            </w:r>
          </w:p>
        </w:tc>
        <w:tc>
          <w:tcPr>
            <w:tcW w:w="1080" w:type="dxa"/>
            <w:shd w:val="clear" w:color="auto" w:fill="FFFFFF" w:themeFill="background1"/>
          </w:tcPr>
          <w:p w14:paraId="0F3964A0"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w:t>
            </w:r>
          </w:p>
        </w:tc>
        <w:tc>
          <w:tcPr>
            <w:tcW w:w="1170" w:type="dxa"/>
            <w:shd w:val="clear" w:color="auto" w:fill="FFFFFF" w:themeFill="background1"/>
          </w:tcPr>
          <w:p w14:paraId="27D60307"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17%</w:t>
            </w:r>
          </w:p>
        </w:tc>
        <w:tc>
          <w:tcPr>
            <w:tcW w:w="1260" w:type="dxa"/>
            <w:shd w:val="clear" w:color="auto" w:fill="FFFFFF" w:themeFill="background1"/>
          </w:tcPr>
          <w:p w14:paraId="583EE029"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42%</w:t>
            </w:r>
          </w:p>
        </w:tc>
        <w:tc>
          <w:tcPr>
            <w:tcW w:w="1260" w:type="dxa"/>
            <w:shd w:val="clear" w:color="auto" w:fill="FFFFFF" w:themeFill="background1"/>
          </w:tcPr>
          <w:p w14:paraId="7F2A5CB5"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27%</w:t>
            </w:r>
          </w:p>
        </w:tc>
        <w:tc>
          <w:tcPr>
            <w:tcW w:w="1260" w:type="dxa"/>
            <w:shd w:val="clear" w:color="auto" w:fill="FFFFFF" w:themeFill="background1"/>
          </w:tcPr>
          <w:p w14:paraId="17338777"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w:t>
            </w:r>
          </w:p>
        </w:tc>
      </w:tr>
      <w:tr w:rsidR="00B511F9" w:rsidRPr="00F46D57" w14:paraId="72A429ED"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bottom w:val="none" w:sz="0" w:space="0" w:color="auto"/>
              <w:right w:val="none" w:sz="0" w:space="0" w:color="auto"/>
            </w:tcBorders>
          </w:tcPr>
          <w:p w14:paraId="77EE5FAA" w14:textId="77777777" w:rsidR="00B511F9" w:rsidRPr="003B1178" w:rsidRDefault="00B511F9" w:rsidP="00B511F9">
            <w:pPr>
              <w:rPr>
                <w:rFonts w:ascii="Browallia New" w:hAnsi="Browallia New" w:cs="Browallia New"/>
              </w:rPr>
            </w:pPr>
            <w:r w:rsidRPr="003B1178">
              <w:rPr>
                <w:rFonts w:ascii="Browallia New" w:hAnsi="Browallia New" w:cs="Browallia New"/>
              </w:rPr>
              <w:t>Public Companies</w:t>
            </w:r>
          </w:p>
        </w:tc>
        <w:tc>
          <w:tcPr>
            <w:tcW w:w="1080" w:type="dxa"/>
            <w:tcBorders>
              <w:top w:val="none" w:sz="0" w:space="0" w:color="auto"/>
              <w:bottom w:val="none" w:sz="0" w:space="0" w:color="auto"/>
            </w:tcBorders>
            <w:shd w:val="clear" w:color="auto" w:fill="FFFFFF" w:themeFill="background1"/>
          </w:tcPr>
          <w:p w14:paraId="0ED8FD1D"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w:t>
            </w:r>
          </w:p>
        </w:tc>
        <w:tc>
          <w:tcPr>
            <w:tcW w:w="1170" w:type="dxa"/>
            <w:tcBorders>
              <w:top w:val="none" w:sz="0" w:space="0" w:color="auto"/>
              <w:bottom w:val="none" w:sz="0" w:space="0" w:color="auto"/>
            </w:tcBorders>
            <w:shd w:val="clear" w:color="auto" w:fill="FFFFFF" w:themeFill="background1"/>
          </w:tcPr>
          <w:p w14:paraId="3572FADB"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19%</w:t>
            </w:r>
          </w:p>
        </w:tc>
        <w:tc>
          <w:tcPr>
            <w:tcW w:w="1260" w:type="dxa"/>
            <w:tcBorders>
              <w:top w:val="none" w:sz="0" w:space="0" w:color="auto"/>
              <w:bottom w:val="none" w:sz="0" w:space="0" w:color="auto"/>
            </w:tcBorders>
            <w:shd w:val="clear" w:color="auto" w:fill="FFFFFF" w:themeFill="background1"/>
          </w:tcPr>
          <w:p w14:paraId="170E7BAD"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40%</w:t>
            </w:r>
          </w:p>
        </w:tc>
        <w:tc>
          <w:tcPr>
            <w:tcW w:w="1260" w:type="dxa"/>
            <w:tcBorders>
              <w:top w:val="none" w:sz="0" w:space="0" w:color="auto"/>
              <w:bottom w:val="none" w:sz="0" w:space="0" w:color="auto"/>
            </w:tcBorders>
            <w:shd w:val="clear" w:color="auto" w:fill="FFFFFF" w:themeFill="background1"/>
          </w:tcPr>
          <w:p w14:paraId="21AB66B4"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25%</w:t>
            </w:r>
          </w:p>
        </w:tc>
        <w:tc>
          <w:tcPr>
            <w:tcW w:w="1260" w:type="dxa"/>
            <w:tcBorders>
              <w:top w:val="none" w:sz="0" w:space="0" w:color="auto"/>
              <w:bottom w:val="none" w:sz="0" w:space="0" w:color="auto"/>
            </w:tcBorders>
            <w:shd w:val="clear" w:color="auto" w:fill="FFFFFF" w:themeFill="background1"/>
          </w:tcPr>
          <w:p w14:paraId="478FCC79"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9%</w:t>
            </w:r>
          </w:p>
        </w:tc>
      </w:tr>
      <w:tr w:rsidR="00B511F9" w:rsidRPr="00F46D57" w14:paraId="72283866" w14:textId="77777777" w:rsidTr="00F6494D">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14:paraId="1EE95F7D" w14:textId="77777777" w:rsidR="00B511F9" w:rsidRPr="003B1178" w:rsidRDefault="00B511F9" w:rsidP="00B511F9">
            <w:pPr>
              <w:rPr>
                <w:rFonts w:ascii="Browallia New" w:hAnsi="Browallia New" w:cs="Browallia New"/>
              </w:rPr>
            </w:pPr>
            <w:r w:rsidRPr="003B1178">
              <w:rPr>
                <w:rFonts w:ascii="Browallia New" w:hAnsi="Browallia New" w:cs="Browallia New"/>
              </w:rPr>
              <w:t>Financial Services</w:t>
            </w:r>
          </w:p>
        </w:tc>
        <w:tc>
          <w:tcPr>
            <w:tcW w:w="1080" w:type="dxa"/>
            <w:shd w:val="clear" w:color="auto" w:fill="FFFFFF" w:themeFill="background1"/>
          </w:tcPr>
          <w:p w14:paraId="7A00F195"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w:t>
            </w:r>
          </w:p>
        </w:tc>
        <w:tc>
          <w:tcPr>
            <w:tcW w:w="1170" w:type="dxa"/>
            <w:shd w:val="clear" w:color="auto" w:fill="FFFFFF" w:themeFill="background1"/>
          </w:tcPr>
          <w:p w14:paraId="1140E3A8"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15%</w:t>
            </w:r>
          </w:p>
        </w:tc>
        <w:tc>
          <w:tcPr>
            <w:tcW w:w="1260" w:type="dxa"/>
            <w:shd w:val="clear" w:color="auto" w:fill="FFFFFF" w:themeFill="background1"/>
          </w:tcPr>
          <w:p w14:paraId="016A67B2"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43%</w:t>
            </w:r>
          </w:p>
        </w:tc>
        <w:tc>
          <w:tcPr>
            <w:tcW w:w="1260" w:type="dxa"/>
            <w:shd w:val="clear" w:color="auto" w:fill="FFFFFF" w:themeFill="background1"/>
          </w:tcPr>
          <w:p w14:paraId="6A18CBF6"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27%</w:t>
            </w:r>
          </w:p>
        </w:tc>
        <w:tc>
          <w:tcPr>
            <w:tcW w:w="1260" w:type="dxa"/>
            <w:shd w:val="clear" w:color="auto" w:fill="FFFFFF" w:themeFill="background1"/>
          </w:tcPr>
          <w:p w14:paraId="54559454" w14:textId="77777777" w:rsidR="00B511F9" w:rsidRPr="003B1178" w:rsidRDefault="00B511F9" w:rsidP="00B511F9">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w:t>
            </w:r>
          </w:p>
        </w:tc>
      </w:tr>
      <w:tr w:rsidR="00B511F9" w:rsidRPr="00F46D57" w14:paraId="353307B8"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bottom w:val="none" w:sz="0" w:space="0" w:color="auto"/>
              <w:right w:val="none" w:sz="0" w:space="0" w:color="auto"/>
            </w:tcBorders>
          </w:tcPr>
          <w:p w14:paraId="0C0891C0" w14:textId="77777777" w:rsidR="00B511F9" w:rsidRPr="003B1178" w:rsidRDefault="00B511F9" w:rsidP="00B511F9">
            <w:pPr>
              <w:rPr>
                <w:rFonts w:ascii="Browallia New" w:hAnsi="Browallia New" w:cs="Browallia New"/>
              </w:rPr>
            </w:pPr>
            <w:r w:rsidRPr="003B1178">
              <w:rPr>
                <w:rFonts w:ascii="Browallia New" w:hAnsi="Browallia New" w:cs="Browallia New"/>
              </w:rPr>
              <w:t>Not-for-Profit Organizations</w:t>
            </w:r>
          </w:p>
        </w:tc>
        <w:tc>
          <w:tcPr>
            <w:tcW w:w="1080" w:type="dxa"/>
            <w:tcBorders>
              <w:top w:val="none" w:sz="0" w:space="0" w:color="auto"/>
              <w:bottom w:val="none" w:sz="0" w:space="0" w:color="auto"/>
            </w:tcBorders>
            <w:shd w:val="clear" w:color="auto" w:fill="FFFFFF" w:themeFill="background1"/>
          </w:tcPr>
          <w:p w14:paraId="3FCC2D6B"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c>
          <w:tcPr>
            <w:tcW w:w="1170" w:type="dxa"/>
            <w:tcBorders>
              <w:top w:val="none" w:sz="0" w:space="0" w:color="auto"/>
              <w:bottom w:val="none" w:sz="0" w:space="0" w:color="auto"/>
            </w:tcBorders>
            <w:shd w:val="clear" w:color="auto" w:fill="FFFFFF" w:themeFill="background1"/>
          </w:tcPr>
          <w:p w14:paraId="16F74454"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24%</w:t>
            </w:r>
          </w:p>
        </w:tc>
        <w:tc>
          <w:tcPr>
            <w:tcW w:w="1260" w:type="dxa"/>
            <w:tcBorders>
              <w:top w:val="none" w:sz="0" w:space="0" w:color="auto"/>
              <w:bottom w:val="none" w:sz="0" w:space="0" w:color="auto"/>
            </w:tcBorders>
            <w:shd w:val="clear" w:color="auto" w:fill="FFFFFF" w:themeFill="background1"/>
          </w:tcPr>
          <w:p w14:paraId="270517EB"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47%</w:t>
            </w:r>
          </w:p>
        </w:tc>
        <w:tc>
          <w:tcPr>
            <w:tcW w:w="1260" w:type="dxa"/>
            <w:tcBorders>
              <w:top w:val="none" w:sz="0" w:space="0" w:color="auto"/>
              <w:bottom w:val="none" w:sz="0" w:space="0" w:color="auto"/>
            </w:tcBorders>
            <w:shd w:val="clear" w:color="auto" w:fill="FFFFFF" w:themeFill="background1"/>
          </w:tcPr>
          <w:p w14:paraId="09735E34" w14:textId="77777777" w:rsidR="00B511F9" w:rsidRPr="003B1178" w:rsidRDefault="00B00B0B"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13</w:t>
            </w:r>
            <w:r w:rsidR="00B511F9" w:rsidRPr="003B1178">
              <w:rPr>
                <w:rFonts w:ascii="Browallia New" w:hAnsi="Browallia New" w:cs="Browallia New"/>
                <w:b/>
              </w:rPr>
              <w:t>%</w:t>
            </w:r>
          </w:p>
        </w:tc>
        <w:tc>
          <w:tcPr>
            <w:tcW w:w="1260" w:type="dxa"/>
            <w:tcBorders>
              <w:top w:val="none" w:sz="0" w:space="0" w:color="auto"/>
              <w:bottom w:val="none" w:sz="0" w:space="0" w:color="auto"/>
            </w:tcBorders>
            <w:shd w:val="clear" w:color="auto" w:fill="FFFFFF" w:themeFill="background1"/>
          </w:tcPr>
          <w:p w14:paraId="29F19D7A" w14:textId="77777777" w:rsidR="00B511F9" w:rsidRPr="003B1178" w:rsidRDefault="00B511F9" w:rsidP="00B511F9">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w:t>
            </w:r>
          </w:p>
        </w:tc>
      </w:tr>
    </w:tbl>
    <w:p w14:paraId="01BBF2BE" w14:textId="77777777" w:rsidR="0054728D" w:rsidRPr="00F46D57" w:rsidRDefault="0054728D" w:rsidP="0054728D">
      <w:pPr>
        <w:spacing w:after="0" w:line="240" w:lineRule="auto"/>
        <w:jc w:val="both"/>
        <w:rPr>
          <w:rFonts w:ascii="Browallia New" w:hAnsi="Browallia New" w:cs="Browallia New"/>
        </w:rPr>
      </w:pPr>
    </w:p>
    <w:p w14:paraId="225C0EC9" w14:textId="77777777" w:rsidR="0054728D" w:rsidRPr="00815E7B" w:rsidRDefault="0054728D" w:rsidP="00815E7B">
      <w:pPr>
        <w:spacing w:line="204" w:lineRule="auto"/>
        <w:jc w:val="both"/>
        <w:rPr>
          <w:rFonts w:ascii="Browallia New" w:hAnsi="Browallia New" w:cs="Browallia New"/>
          <w:sz w:val="28"/>
          <w:szCs w:val="28"/>
        </w:rPr>
      </w:pPr>
      <w:r w:rsidRPr="00815E7B">
        <w:rPr>
          <w:rFonts w:ascii="Browallia New" w:hAnsi="Browallia New" w:cs="Browallia New"/>
          <w:sz w:val="28"/>
          <w:szCs w:val="28"/>
        </w:rPr>
        <w:t>In general, the largest organizations, public companies, and financial services entities believe their approach to ERM is more mature relative to the full sample. As shown in the table above and the bar graph on the next page, respondents in larger organizations, public companies, and financial services organizations are more likely to describe their organization’s approach to ERM as either “mature” or “robust” relative to the full sample and to</w:t>
      </w:r>
      <w:r w:rsidR="00583807">
        <w:rPr>
          <w:rFonts w:ascii="Browallia New" w:hAnsi="Browallia New" w:cs="Browallia New"/>
          <w:sz w:val="28"/>
          <w:szCs w:val="28"/>
        </w:rPr>
        <w:t xml:space="preserve"> not-for-profit organizations. T</w:t>
      </w:r>
      <w:r w:rsidRPr="00815E7B">
        <w:rPr>
          <w:rFonts w:ascii="Browallia New" w:hAnsi="Browallia New" w:cs="Browallia New"/>
          <w:sz w:val="28"/>
          <w:szCs w:val="28"/>
        </w:rPr>
        <w:t xml:space="preserve">hat has been the case for the past few years. </w:t>
      </w:r>
    </w:p>
    <w:p w14:paraId="40AFEB7F" w14:textId="77777777" w:rsidR="0054728D" w:rsidRPr="00F46D57" w:rsidRDefault="0054728D" w:rsidP="0054728D">
      <w:pPr>
        <w:spacing w:after="0" w:line="240" w:lineRule="auto"/>
        <w:jc w:val="both"/>
        <w:rPr>
          <w:rFonts w:ascii="Browallia New" w:hAnsi="Browallia New" w:cs="Browallia New"/>
        </w:rPr>
      </w:pPr>
    </w:p>
    <w:p w14:paraId="37EA33A4" w14:textId="77777777" w:rsidR="0054728D" w:rsidRPr="00F46D57" w:rsidRDefault="0054728D" w:rsidP="00E24AB1">
      <w:pPr>
        <w:spacing w:after="0" w:line="240" w:lineRule="auto"/>
        <w:jc w:val="center"/>
        <w:rPr>
          <w:rFonts w:ascii="Browallia New" w:hAnsi="Browallia New" w:cs="Browallia New"/>
        </w:rPr>
      </w:pPr>
      <w:r w:rsidRPr="00F46D57">
        <w:rPr>
          <w:rFonts w:ascii="Browallia New" w:hAnsi="Browallia New" w:cs="Browallia New"/>
          <w:noProof/>
        </w:rPr>
        <w:lastRenderedPageBreak/>
        <w:drawing>
          <wp:inline distT="0" distB="0" distL="0" distR="0" wp14:anchorId="7265801B" wp14:editId="219502E3">
            <wp:extent cx="5486400" cy="3200400"/>
            <wp:effectExtent l="0" t="0" r="0" b="0"/>
            <wp:docPr id="132" name="Chart 132" descr="Bar chart of organizations with mature or robust risk management oversight from 2014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CBDF83" w14:textId="77777777" w:rsidR="0054728D" w:rsidRPr="00F46D57" w:rsidRDefault="0054728D" w:rsidP="0054728D">
      <w:pPr>
        <w:spacing w:after="0" w:line="240" w:lineRule="auto"/>
        <w:jc w:val="both"/>
        <w:rPr>
          <w:rFonts w:ascii="Browallia New" w:hAnsi="Browallia New" w:cs="Browallia New"/>
        </w:rPr>
      </w:pPr>
    </w:p>
    <w:p w14:paraId="5E4A82A0" w14:textId="77777777" w:rsidR="0054728D" w:rsidRPr="00815E7B" w:rsidRDefault="0054728D" w:rsidP="00815E7B">
      <w:pPr>
        <w:spacing w:line="204" w:lineRule="auto"/>
        <w:jc w:val="both"/>
        <w:rPr>
          <w:rFonts w:ascii="Browallia New" w:hAnsi="Browallia New" w:cs="Browallia New"/>
          <w:sz w:val="28"/>
          <w:szCs w:val="28"/>
        </w:rPr>
      </w:pPr>
      <w:r w:rsidRPr="00815E7B">
        <w:rPr>
          <w:rFonts w:ascii="Browallia New" w:hAnsi="Browallia New" w:cs="Browallia New"/>
          <w:sz w:val="28"/>
          <w:szCs w:val="28"/>
        </w:rPr>
        <w:t xml:space="preserve">While the level of risk oversight maturity is higher for these subsets of organizations than the full sample, it is important to note that a significant percentage of these subsets of organizations still do not describe their approaches to ERM as being “mature” or “robust.” When you consider the results concerning the changing complexity and volume of risks facing most organizations, along with growing expectations for improved risk oversight, opportunities remain for all types of organizations to increase the level of their enterprise-wide risk management maturity. </w:t>
      </w:r>
    </w:p>
    <w:p w14:paraId="6B820C63" w14:textId="77777777" w:rsidR="0054728D" w:rsidRPr="00815E7B" w:rsidRDefault="0054728D" w:rsidP="00815E7B">
      <w:pPr>
        <w:spacing w:line="204" w:lineRule="auto"/>
        <w:jc w:val="both"/>
        <w:rPr>
          <w:rFonts w:ascii="Browallia New" w:hAnsi="Browallia New" w:cs="Browallia New"/>
          <w:sz w:val="28"/>
          <w:szCs w:val="28"/>
        </w:rPr>
      </w:pPr>
      <w:r w:rsidRPr="00815E7B">
        <w:rPr>
          <w:rFonts w:ascii="Browallia New" w:hAnsi="Browallia New" w:cs="Browallia New"/>
          <w:sz w:val="28"/>
          <w:szCs w:val="28"/>
        </w:rPr>
        <w:t xml:space="preserve">This is especially intriguing given </w:t>
      </w:r>
      <w:proofErr w:type="gramStart"/>
      <w:r w:rsidRPr="00815E7B">
        <w:rPr>
          <w:rFonts w:ascii="Browallia New" w:hAnsi="Browallia New" w:cs="Browallia New"/>
          <w:sz w:val="28"/>
          <w:szCs w:val="28"/>
        </w:rPr>
        <w:t>a majority of</w:t>
      </w:r>
      <w:proofErr w:type="gramEnd"/>
      <w:r w:rsidRPr="00815E7B">
        <w:rPr>
          <w:rFonts w:ascii="Browallia New" w:hAnsi="Browallia New" w:cs="Browallia New"/>
          <w:sz w:val="28"/>
          <w:szCs w:val="28"/>
        </w:rPr>
        <w:t xml:space="preserve"> the respondents in the full sample indicated that their organization’s risk culture is one that is either “strongly risk averse” (8%) or “risk averse” (45%). Similarly, just over one-half of the largest organizations, public companies, and financial services companies indicated their risk culture is “strongly risk averse” or “risk averse.” The overall lack of ERM maturity for the full sample is somewhat surprising, when </w:t>
      </w:r>
      <w:proofErr w:type="gramStart"/>
      <w:r w:rsidRPr="00815E7B">
        <w:rPr>
          <w:rFonts w:ascii="Browallia New" w:hAnsi="Browallia New" w:cs="Browallia New"/>
          <w:sz w:val="28"/>
          <w:szCs w:val="28"/>
        </w:rPr>
        <w:t>the majority of</w:t>
      </w:r>
      <w:proofErr w:type="gramEnd"/>
      <w:r w:rsidRPr="00815E7B">
        <w:rPr>
          <w:rFonts w:ascii="Browallia New" w:hAnsi="Browallia New" w:cs="Browallia New"/>
          <w:sz w:val="28"/>
          <w:szCs w:val="28"/>
        </w:rPr>
        <w:t xml:space="preserve"> organizations are in organizations with notable aversion to significant risk-taking. The level of risk management maturity may not clearly reconcile to the organization’s </w:t>
      </w:r>
      <w:r w:rsidR="00D404E0">
        <w:rPr>
          <w:rFonts w:ascii="Browallia New" w:hAnsi="Browallia New" w:cs="Browallia New"/>
          <w:sz w:val="28"/>
          <w:szCs w:val="28"/>
        </w:rPr>
        <w:t>risk-</w:t>
      </w:r>
      <w:r w:rsidRPr="00815E7B">
        <w:rPr>
          <w:rFonts w:ascii="Browallia New" w:hAnsi="Browallia New" w:cs="Browallia New"/>
          <w:sz w:val="28"/>
          <w:szCs w:val="28"/>
        </w:rPr>
        <w:t>averse culture.</w:t>
      </w:r>
    </w:p>
    <w:p w14:paraId="7722311D" w14:textId="77777777" w:rsidR="00B65DD7" w:rsidRPr="00815E7B" w:rsidRDefault="001C5EC5" w:rsidP="00815E7B">
      <w:pPr>
        <w:spacing w:line="204" w:lineRule="auto"/>
        <w:jc w:val="both"/>
        <w:rPr>
          <w:rFonts w:ascii="Browallia New" w:hAnsi="Browallia New" w:cs="Browallia New"/>
          <w:sz w:val="28"/>
          <w:szCs w:val="28"/>
        </w:rPr>
      </w:pPr>
      <w:r w:rsidRPr="00815E7B">
        <w:rPr>
          <w:rFonts w:ascii="Browallia New" w:hAnsi="Browallia New" w:cs="Browallia New"/>
          <w:sz w:val="28"/>
          <w:szCs w:val="28"/>
        </w:rPr>
        <w:t xml:space="preserve">There have been </w:t>
      </w:r>
      <w:r w:rsidR="00B65DD7" w:rsidRPr="00815E7B">
        <w:rPr>
          <w:rFonts w:ascii="Browallia New" w:hAnsi="Browallia New" w:cs="Browallia New"/>
          <w:sz w:val="28"/>
          <w:szCs w:val="28"/>
        </w:rPr>
        <w:t xml:space="preserve">growing calls for more effective </w:t>
      </w:r>
      <w:r w:rsidRPr="00815E7B">
        <w:rPr>
          <w:rFonts w:ascii="Browallia New" w:hAnsi="Browallia New" w:cs="Browallia New"/>
          <w:sz w:val="28"/>
          <w:szCs w:val="28"/>
        </w:rPr>
        <w:t xml:space="preserve">enterprise </w:t>
      </w:r>
      <w:r w:rsidR="00B65DD7" w:rsidRPr="00815E7B">
        <w:rPr>
          <w:rFonts w:ascii="Browallia New" w:hAnsi="Browallia New" w:cs="Browallia New"/>
          <w:sz w:val="28"/>
          <w:szCs w:val="28"/>
        </w:rPr>
        <w:t>risk oversight at the board and senior management levels</w:t>
      </w:r>
      <w:r w:rsidRPr="00815E7B">
        <w:rPr>
          <w:rFonts w:ascii="Browallia New" w:hAnsi="Browallia New" w:cs="Browallia New"/>
          <w:sz w:val="28"/>
          <w:szCs w:val="28"/>
        </w:rPr>
        <w:t xml:space="preserve"> in recent years. Many corporate governance reform experts have called for the </w:t>
      </w:r>
      <w:r w:rsidR="00E46568" w:rsidRPr="00815E7B">
        <w:rPr>
          <w:rFonts w:ascii="Browallia New" w:hAnsi="Browallia New" w:cs="Browallia New"/>
          <w:sz w:val="28"/>
          <w:szCs w:val="28"/>
        </w:rPr>
        <w:t xml:space="preserve">adoption </w:t>
      </w:r>
      <w:r w:rsidRPr="00815E7B">
        <w:rPr>
          <w:rFonts w:ascii="Browallia New" w:hAnsi="Browallia New" w:cs="Browallia New"/>
          <w:sz w:val="28"/>
          <w:szCs w:val="28"/>
        </w:rPr>
        <w:t>of</w:t>
      </w:r>
      <w:r w:rsidR="00F22751" w:rsidRPr="00815E7B">
        <w:rPr>
          <w:rFonts w:ascii="Browallia New" w:hAnsi="Browallia New" w:cs="Browallia New"/>
          <w:sz w:val="28"/>
          <w:szCs w:val="28"/>
        </w:rPr>
        <w:t xml:space="preserve"> a </w:t>
      </w:r>
      <w:r w:rsidR="00E46568" w:rsidRPr="00815E7B">
        <w:rPr>
          <w:rFonts w:ascii="Browallia New" w:hAnsi="Browallia New" w:cs="Browallia New"/>
          <w:sz w:val="28"/>
          <w:szCs w:val="28"/>
        </w:rPr>
        <w:t>holistic</w:t>
      </w:r>
      <w:r w:rsidR="00370CE0" w:rsidRPr="00815E7B">
        <w:rPr>
          <w:rFonts w:ascii="Browallia New" w:hAnsi="Browallia New" w:cs="Browallia New"/>
          <w:sz w:val="28"/>
          <w:szCs w:val="28"/>
        </w:rPr>
        <w:t xml:space="preserve"> approach to risk management </w:t>
      </w:r>
      <w:r w:rsidR="007116DD" w:rsidRPr="00815E7B">
        <w:rPr>
          <w:rFonts w:ascii="Browallia New" w:hAnsi="Browallia New" w:cs="Browallia New"/>
          <w:sz w:val="28"/>
          <w:szCs w:val="28"/>
        </w:rPr>
        <w:t xml:space="preserve">widely known </w:t>
      </w:r>
      <w:r w:rsidR="00370CE0" w:rsidRPr="00815E7B">
        <w:rPr>
          <w:rFonts w:ascii="Browallia New" w:hAnsi="Browallia New" w:cs="Browallia New"/>
          <w:sz w:val="28"/>
          <w:szCs w:val="28"/>
        </w:rPr>
        <w:t>as “enterprise risk management” or “ERM</w:t>
      </w:r>
      <w:r w:rsidR="003A5525" w:rsidRPr="00815E7B">
        <w:rPr>
          <w:rFonts w:ascii="Browallia New" w:hAnsi="Browallia New" w:cs="Browallia New"/>
          <w:sz w:val="28"/>
          <w:szCs w:val="28"/>
        </w:rPr>
        <w:t>.</w:t>
      </w:r>
      <w:r w:rsidR="00370CE0" w:rsidRPr="00815E7B">
        <w:rPr>
          <w:rFonts w:ascii="Browallia New" w:hAnsi="Browallia New" w:cs="Browallia New"/>
          <w:sz w:val="28"/>
          <w:szCs w:val="28"/>
        </w:rPr>
        <w:t xml:space="preserve">” </w:t>
      </w:r>
      <w:r w:rsidR="00B65DD7" w:rsidRPr="00815E7B">
        <w:rPr>
          <w:rFonts w:ascii="Browallia New" w:hAnsi="Browallia New" w:cs="Browallia New"/>
          <w:sz w:val="28"/>
          <w:szCs w:val="28"/>
        </w:rPr>
        <w:t xml:space="preserve">ERM is different from traditional approaches that focus on risk oversight by managing silos or </w:t>
      </w:r>
      <w:r w:rsidR="00E46568" w:rsidRPr="00815E7B">
        <w:rPr>
          <w:rFonts w:ascii="Browallia New" w:hAnsi="Browallia New" w:cs="Browallia New"/>
          <w:sz w:val="28"/>
          <w:szCs w:val="28"/>
        </w:rPr>
        <w:t xml:space="preserve">distinct </w:t>
      </w:r>
      <w:r w:rsidR="00B65DD7" w:rsidRPr="00815E7B">
        <w:rPr>
          <w:rFonts w:ascii="Browallia New" w:hAnsi="Browallia New" w:cs="Browallia New"/>
          <w:sz w:val="28"/>
          <w:szCs w:val="28"/>
        </w:rPr>
        <w:t>pockets of risks</w:t>
      </w:r>
      <w:r w:rsidR="00844EC7" w:rsidRPr="00815E7B">
        <w:rPr>
          <w:rFonts w:ascii="Browallia New" w:hAnsi="Browallia New" w:cs="Browallia New"/>
          <w:sz w:val="28"/>
          <w:szCs w:val="28"/>
        </w:rPr>
        <w:t>. ERM emphasizes a top-down</w:t>
      </w:r>
      <w:r w:rsidR="00A52816" w:rsidRPr="00815E7B">
        <w:rPr>
          <w:rFonts w:ascii="Browallia New" w:hAnsi="Browallia New" w:cs="Browallia New"/>
          <w:sz w:val="28"/>
          <w:szCs w:val="28"/>
        </w:rPr>
        <w:t>, enterprise-wide</w:t>
      </w:r>
      <w:r w:rsidR="00844EC7" w:rsidRPr="00815E7B">
        <w:rPr>
          <w:rFonts w:ascii="Browallia New" w:hAnsi="Browallia New" w:cs="Browallia New"/>
          <w:sz w:val="28"/>
          <w:szCs w:val="28"/>
        </w:rPr>
        <w:t xml:space="preserve"> view of the inventory of key risk </w:t>
      </w:r>
      <w:proofErr w:type="gramStart"/>
      <w:r w:rsidR="00844EC7" w:rsidRPr="00815E7B">
        <w:rPr>
          <w:rFonts w:ascii="Browallia New" w:hAnsi="Browallia New" w:cs="Browallia New"/>
          <w:sz w:val="28"/>
          <w:szCs w:val="28"/>
        </w:rPr>
        <w:t>exposures</w:t>
      </w:r>
      <w:proofErr w:type="gramEnd"/>
      <w:r w:rsidR="00844EC7" w:rsidRPr="00815E7B">
        <w:rPr>
          <w:rFonts w:ascii="Browallia New" w:hAnsi="Browallia New" w:cs="Browallia New"/>
          <w:sz w:val="28"/>
          <w:szCs w:val="28"/>
        </w:rPr>
        <w:t xml:space="preserve"> potentially affecting an entity’s ability to achieve its objectives.</w:t>
      </w:r>
    </w:p>
    <w:p w14:paraId="75C32F2D" w14:textId="77777777" w:rsidR="00F00752" w:rsidRDefault="00AD3739" w:rsidP="00815E7B">
      <w:pPr>
        <w:pStyle w:val="BodyText3"/>
        <w:spacing w:after="200" w:line="204" w:lineRule="auto"/>
        <w:jc w:val="both"/>
        <w:rPr>
          <w:rFonts w:ascii="Browallia New" w:hAnsi="Browallia New" w:cs="Browallia New"/>
          <w:i w:val="0"/>
          <w:sz w:val="28"/>
          <w:szCs w:val="28"/>
        </w:rPr>
      </w:pPr>
      <w:r w:rsidRPr="00815E7B">
        <w:rPr>
          <w:rFonts w:ascii="Browallia New" w:hAnsi="Browallia New" w:cs="Browallia New"/>
          <w:i w:val="0"/>
          <w:sz w:val="28"/>
          <w:szCs w:val="28"/>
        </w:rPr>
        <w:t xml:space="preserve">To obtain a sense for the current state of ERM maturity, we asked </w:t>
      </w:r>
      <w:r w:rsidR="00EC6626" w:rsidRPr="00815E7B">
        <w:rPr>
          <w:rFonts w:ascii="Browallia New" w:hAnsi="Browallia New" w:cs="Browallia New"/>
          <w:i w:val="0"/>
          <w:sz w:val="28"/>
          <w:szCs w:val="28"/>
        </w:rPr>
        <w:t>survey participants</w:t>
      </w:r>
      <w:r w:rsidRPr="00815E7B">
        <w:rPr>
          <w:rFonts w:ascii="Browallia New" w:hAnsi="Browallia New" w:cs="Browallia New"/>
          <w:i w:val="0"/>
          <w:sz w:val="28"/>
          <w:szCs w:val="28"/>
        </w:rPr>
        <w:t xml:space="preserve"> to respond to </w:t>
      </w:r>
      <w:proofErr w:type="gramStart"/>
      <w:r w:rsidRPr="00815E7B">
        <w:rPr>
          <w:rFonts w:ascii="Browallia New" w:hAnsi="Browallia New" w:cs="Browallia New"/>
          <w:i w:val="0"/>
          <w:sz w:val="28"/>
          <w:szCs w:val="28"/>
        </w:rPr>
        <w:t>a number of</w:t>
      </w:r>
      <w:proofErr w:type="gramEnd"/>
      <w:r w:rsidRPr="00815E7B">
        <w:rPr>
          <w:rFonts w:ascii="Browallia New" w:hAnsi="Browallia New" w:cs="Browallia New"/>
          <w:i w:val="0"/>
          <w:sz w:val="28"/>
          <w:szCs w:val="28"/>
        </w:rPr>
        <w:t xml:space="preserve"> questions to help us get a sense for the current level of risk oversight in organizations surveyed. One of the questions asked them to select from the following the best description of the state of their </w:t>
      </w:r>
      <w:r w:rsidR="00A702C7" w:rsidRPr="00815E7B">
        <w:rPr>
          <w:rFonts w:ascii="Browallia New" w:hAnsi="Browallia New" w:cs="Browallia New"/>
          <w:i w:val="0"/>
          <w:sz w:val="28"/>
          <w:szCs w:val="28"/>
        </w:rPr>
        <w:t>ERM currently in place:</w:t>
      </w:r>
    </w:p>
    <w:p w14:paraId="5BF5C51C" w14:textId="77777777" w:rsidR="00F00752" w:rsidRDefault="00F00752">
      <w:pPr>
        <w:rPr>
          <w:rFonts w:ascii="Browallia New" w:hAnsi="Browallia New" w:cs="Browallia New"/>
          <w:sz w:val="28"/>
          <w:szCs w:val="28"/>
        </w:rPr>
      </w:pPr>
      <w:r>
        <w:rPr>
          <w:rFonts w:ascii="Browallia New" w:hAnsi="Browallia New" w:cs="Browallia New"/>
          <w:i/>
          <w:sz w:val="28"/>
          <w:szCs w:val="28"/>
        </w:rPr>
        <w:br w:type="page"/>
      </w:r>
    </w:p>
    <w:p w14:paraId="7E97B56F" w14:textId="77777777" w:rsidR="00A702C7" w:rsidRPr="00815E7B" w:rsidRDefault="00A702C7" w:rsidP="00815E7B">
      <w:pPr>
        <w:pStyle w:val="BodyText3"/>
        <w:numPr>
          <w:ilvl w:val="0"/>
          <w:numId w:val="20"/>
        </w:numPr>
        <w:spacing w:line="204" w:lineRule="auto"/>
        <w:jc w:val="both"/>
        <w:rPr>
          <w:rFonts w:ascii="Browallia New" w:hAnsi="Browallia New" w:cs="Browallia New"/>
          <w:i w:val="0"/>
          <w:sz w:val="28"/>
          <w:szCs w:val="28"/>
        </w:rPr>
      </w:pPr>
      <w:r w:rsidRPr="00815E7B">
        <w:rPr>
          <w:rFonts w:ascii="Browallia New" w:hAnsi="Browallia New" w:cs="Browallia New"/>
          <w:i w:val="0"/>
          <w:sz w:val="28"/>
          <w:szCs w:val="28"/>
        </w:rPr>
        <w:lastRenderedPageBreak/>
        <w:t>No enterprise-wide process in place</w:t>
      </w:r>
    </w:p>
    <w:p w14:paraId="1D18639B" w14:textId="77777777" w:rsidR="00A702C7" w:rsidRPr="00815E7B" w:rsidRDefault="00A702C7" w:rsidP="00815E7B">
      <w:pPr>
        <w:pStyle w:val="BodyText3"/>
        <w:numPr>
          <w:ilvl w:val="0"/>
          <w:numId w:val="20"/>
        </w:numPr>
        <w:spacing w:line="204" w:lineRule="auto"/>
        <w:jc w:val="both"/>
        <w:rPr>
          <w:rFonts w:ascii="Browallia New" w:hAnsi="Browallia New" w:cs="Browallia New"/>
          <w:i w:val="0"/>
          <w:sz w:val="28"/>
          <w:szCs w:val="28"/>
        </w:rPr>
      </w:pPr>
      <w:r w:rsidRPr="00815E7B">
        <w:rPr>
          <w:rFonts w:ascii="Browallia New" w:hAnsi="Browallia New" w:cs="Browallia New"/>
          <w:i w:val="0"/>
          <w:sz w:val="28"/>
          <w:szCs w:val="28"/>
        </w:rPr>
        <w:t>Currently investigati</w:t>
      </w:r>
      <w:r w:rsidR="00D404E0">
        <w:rPr>
          <w:rFonts w:ascii="Browallia New" w:hAnsi="Browallia New" w:cs="Browallia New"/>
          <w:i w:val="0"/>
          <w:sz w:val="28"/>
          <w:szCs w:val="28"/>
        </w:rPr>
        <w:t>ng</w:t>
      </w:r>
      <w:r w:rsidRPr="00815E7B">
        <w:rPr>
          <w:rFonts w:ascii="Browallia New" w:hAnsi="Browallia New" w:cs="Browallia New"/>
          <w:i w:val="0"/>
          <w:sz w:val="28"/>
          <w:szCs w:val="28"/>
        </w:rPr>
        <w:t xml:space="preserve"> concept of enterprise-wide risk management, but have made no decisions yet</w:t>
      </w:r>
    </w:p>
    <w:p w14:paraId="4BB1E396" w14:textId="77777777" w:rsidR="00A702C7" w:rsidRPr="00815E7B" w:rsidRDefault="00A702C7" w:rsidP="00815E7B">
      <w:pPr>
        <w:pStyle w:val="BodyText3"/>
        <w:numPr>
          <w:ilvl w:val="0"/>
          <w:numId w:val="20"/>
        </w:numPr>
        <w:spacing w:line="204" w:lineRule="auto"/>
        <w:jc w:val="both"/>
        <w:rPr>
          <w:rFonts w:ascii="Browallia New" w:hAnsi="Browallia New" w:cs="Browallia New"/>
          <w:i w:val="0"/>
          <w:sz w:val="28"/>
          <w:szCs w:val="28"/>
        </w:rPr>
      </w:pPr>
      <w:r w:rsidRPr="00815E7B">
        <w:rPr>
          <w:rFonts w:ascii="Browallia New" w:hAnsi="Browallia New" w:cs="Browallia New"/>
          <w:i w:val="0"/>
          <w:sz w:val="28"/>
          <w:szCs w:val="28"/>
        </w:rPr>
        <w:t>No formal enterprise-wide risk management process in place, but have plans to implement one</w:t>
      </w:r>
    </w:p>
    <w:p w14:paraId="0274C6C4" w14:textId="77777777" w:rsidR="00A702C7" w:rsidRPr="00815E7B" w:rsidRDefault="00A702C7" w:rsidP="00815E7B">
      <w:pPr>
        <w:pStyle w:val="BodyText3"/>
        <w:numPr>
          <w:ilvl w:val="0"/>
          <w:numId w:val="20"/>
        </w:numPr>
        <w:spacing w:line="204" w:lineRule="auto"/>
        <w:jc w:val="both"/>
        <w:rPr>
          <w:rFonts w:ascii="Browallia New" w:hAnsi="Browallia New" w:cs="Browallia New"/>
          <w:i w:val="0"/>
          <w:sz w:val="28"/>
          <w:szCs w:val="28"/>
        </w:rPr>
      </w:pPr>
      <w:r w:rsidRPr="00815E7B">
        <w:rPr>
          <w:rFonts w:ascii="Browallia New" w:hAnsi="Browallia New" w:cs="Browallia New"/>
          <w:i w:val="0"/>
          <w:sz w:val="28"/>
          <w:szCs w:val="28"/>
        </w:rPr>
        <w:t>Partial enterprise-wide risk management process in place (i.e., some, but not all, risk areas addressed)</w:t>
      </w:r>
    </w:p>
    <w:p w14:paraId="54F9F570" w14:textId="77777777" w:rsidR="00A702C7" w:rsidRPr="00815E7B" w:rsidRDefault="00A702C7" w:rsidP="00815E7B">
      <w:pPr>
        <w:pStyle w:val="BodyText3"/>
        <w:numPr>
          <w:ilvl w:val="0"/>
          <w:numId w:val="20"/>
        </w:numPr>
        <w:spacing w:line="204" w:lineRule="auto"/>
        <w:jc w:val="both"/>
        <w:rPr>
          <w:rFonts w:ascii="Browallia New" w:hAnsi="Browallia New" w:cs="Browallia New"/>
          <w:i w:val="0"/>
          <w:sz w:val="28"/>
          <w:szCs w:val="28"/>
        </w:rPr>
      </w:pPr>
      <w:r w:rsidRPr="00815E7B">
        <w:rPr>
          <w:rFonts w:ascii="Browallia New" w:hAnsi="Browallia New" w:cs="Browallia New"/>
          <w:i w:val="0"/>
          <w:sz w:val="28"/>
          <w:szCs w:val="28"/>
        </w:rPr>
        <w:t>Complete formal enterprise-wide risk management process in place</w:t>
      </w:r>
    </w:p>
    <w:p w14:paraId="1449B849" w14:textId="77777777" w:rsidR="00DA236B" w:rsidRPr="00815E7B" w:rsidRDefault="00DA236B" w:rsidP="00815E7B">
      <w:pPr>
        <w:pStyle w:val="BodyText3"/>
        <w:spacing w:line="204" w:lineRule="auto"/>
        <w:jc w:val="both"/>
        <w:rPr>
          <w:rFonts w:ascii="Browallia New" w:hAnsi="Browallia New" w:cs="Browallia New"/>
          <w:i w:val="0"/>
          <w:sz w:val="28"/>
          <w:szCs w:val="28"/>
        </w:rPr>
      </w:pPr>
    </w:p>
    <w:p w14:paraId="6B2F96E4" w14:textId="77777777" w:rsidR="00A07F45" w:rsidRDefault="007279FD" w:rsidP="00815E7B">
      <w:pPr>
        <w:pStyle w:val="BodyText3"/>
        <w:spacing w:after="200" w:line="204" w:lineRule="auto"/>
        <w:jc w:val="both"/>
        <w:rPr>
          <w:rFonts w:asciiTheme="majorHAnsi" w:hAnsiTheme="majorHAnsi" w:cs="Browallia New"/>
          <w:noProof/>
          <w:color w:val="FFD9FF"/>
          <w:sz w:val="22"/>
          <w:szCs w:val="22"/>
          <w:shd w:val="clear" w:color="auto" w:fill="C48B01" w:themeFill="accent2" w:themeFillShade="BF"/>
        </w:rPr>
      </w:pPr>
      <w:r w:rsidRPr="00815E7B">
        <w:rPr>
          <w:rFonts w:ascii="Browallia New" w:hAnsi="Browallia New" w:cs="Browallia New"/>
          <w:i w:val="0"/>
          <w:sz w:val="28"/>
          <w:szCs w:val="28"/>
        </w:rPr>
        <w:t>Over the past</w:t>
      </w:r>
      <w:r w:rsidR="00F0425F">
        <w:rPr>
          <w:rFonts w:ascii="Browallia New" w:hAnsi="Browallia New" w:cs="Browallia New"/>
          <w:i w:val="0"/>
          <w:sz w:val="28"/>
          <w:szCs w:val="28"/>
        </w:rPr>
        <w:t xml:space="preserve"> two years, there has been a slight uptick in the percentage </w:t>
      </w:r>
      <w:r w:rsidR="0055025A" w:rsidRPr="00815E7B">
        <w:rPr>
          <w:rFonts w:ascii="Browallia New" w:hAnsi="Browallia New" w:cs="Browallia New"/>
          <w:i w:val="0"/>
          <w:sz w:val="28"/>
          <w:szCs w:val="28"/>
        </w:rPr>
        <w:t xml:space="preserve">of organizations in the full sample that believe they </w:t>
      </w:r>
      <w:r w:rsidR="006A57F0" w:rsidRPr="00815E7B">
        <w:rPr>
          <w:rFonts w:ascii="Browallia New" w:hAnsi="Browallia New" w:cs="Browallia New"/>
          <w:i w:val="0"/>
          <w:sz w:val="28"/>
          <w:szCs w:val="28"/>
        </w:rPr>
        <w:t>have a</w:t>
      </w:r>
      <w:r w:rsidR="00F42094" w:rsidRPr="00815E7B">
        <w:rPr>
          <w:rFonts w:ascii="Browallia New" w:hAnsi="Browallia New" w:cs="Browallia New"/>
          <w:i w:val="0"/>
          <w:sz w:val="28"/>
          <w:szCs w:val="28"/>
        </w:rPr>
        <w:t xml:space="preserve"> </w:t>
      </w:r>
      <w:r w:rsidR="0055025A" w:rsidRPr="00815E7B">
        <w:rPr>
          <w:rFonts w:ascii="Browallia New" w:hAnsi="Browallia New" w:cs="Browallia New"/>
          <w:i w:val="0"/>
          <w:sz w:val="28"/>
          <w:szCs w:val="28"/>
        </w:rPr>
        <w:t xml:space="preserve">“complete formal enterprise-wide risk management process </w:t>
      </w:r>
      <w:r w:rsidR="00AD435D" w:rsidRPr="00815E7B">
        <w:rPr>
          <w:rFonts w:ascii="Browallia New" w:hAnsi="Browallia New" w:cs="Browallia New"/>
          <w:i w:val="0"/>
          <w:sz w:val="28"/>
          <w:szCs w:val="28"/>
        </w:rPr>
        <w:t xml:space="preserve">in </w:t>
      </w:r>
      <w:r w:rsidR="0055025A" w:rsidRPr="00815E7B">
        <w:rPr>
          <w:rFonts w:ascii="Browallia New" w:hAnsi="Browallia New" w:cs="Browallia New"/>
          <w:i w:val="0"/>
          <w:sz w:val="28"/>
          <w:szCs w:val="28"/>
        </w:rPr>
        <w:t>place</w:t>
      </w:r>
      <w:r w:rsidRPr="00815E7B">
        <w:rPr>
          <w:rFonts w:ascii="Browallia New" w:hAnsi="Browallia New" w:cs="Browallia New"/>
          <w:i w:val="0"/>
          <w:sz w:val="28"/>
          <w:szCs w:val="28"/>
        </w:rPr>
        <w:t>.</w:t>
      </w:r>
      <w:r w:rsidR="0055025A" w:rsidRPr="00815E7B">
        <w:rPr>
          <w:rFonts w:ascii="Browallia New" w:hAnsi="Browallia New" w:cs="Browallia New"/>
          <w:i w:val="0"/>
          <w:sz w:val="28"/>
          <w:szCs w:val="28"/>
        </w:rPr>
        <w:t>”</w:t>
      </w:r>
      <w:r w:rsidRPr="00815E7B">
        <w:rPr>
          <w:rFonts w:ascii="Browallia New" w:hAnsi="Browallia New" w:cs="Browallia New"/>
          <w:i w:val="0"/>
          <w:sz w:val="28"/>
          <w:szCs w:val="28"/>
        </w:rPr>
        <w:t xml:space="preserve"> As illustrated by the chart </w:t>
      </w:r>
      <w:r w:rsidR="00F0425F">
        <w:rPr>
          <w:rFonts w:ascii="Browallia New" w:hAnsi="Browallia New" w:cs="Browallia New"/>
          <w:i w:val="0"/>
          <w:sz w:val="28"/>
          <w:szCs w:val="28"/>
        </w:rPr>
        <w:t>below</w:t>
      </w:r>
      <w:r w:rsidRPr="00815E7B">
        <w:rPr>
          <w:rFonts w:ascii="Browallia New" w:hAnsi="Browallia New" w:cs="Browallia New"/>
          <w:i w:val="0"/>
          <w:sz w:val="28"/>
          <w:szCs w:val="28"/>
        </w:rPr>
        <w:t>, we did see a small increase in the number of organizations at</w:t>
      </w:r>
      <w:r w:rsidR="006136DB" w:rsidRPr="00815E7B">
        <w:rPr>
          <w:rFonts w:ascii="Browallia New" w:hAnsi="Browallia New" w:cs="Browallia New"/>
          <w:i w:val="0"/>
          <w:sz w:val="28"/>
          <w:szCs w:val="28"/>
        </w:rPr>
        <w:t xml:space="preserve"> that level of maturity for 2017</w:t>
      </w:r>
      <w:r w:rsidR="00F0425F">
        <w:rPr>
          <w:rFonts w:ascii="Browallia New" w:hAnsi="Browallia New" w:cs="Browallia New"/>
          <w:i w:val="0"/>
          <w:sz w:val="28"/>
          <w:szCs w:val="28"/>
        </w:rPr>
        <w:t xml:space="preserve"> relative to 2016</w:t>
      </w:r>
      <w:r w:rsidR="00A702C7" w:rsidRPr="00815E7B">
        <w:rPr>
          <w:rFonts w:ascii="Browallia New" w:hAnsi="Browallia New" w:cs="Browallia New"/>
          <w:i w:val="0"/>
          <w:sz w:val="28"/>
          <w:szCs w:val="28"/>
        </w:rPr>
        <w:t>.</w:t>
      </w:r>
      <w:r w:rsidR="00B511F9" w:rsidRPr="00B511F9">
        <w:rPr>
          <w:rFonts w:asciiTheme="majorHAnsi" w:hAnsiTheme="majorHAnsi" w:cs="Browallia New"/>
          <w:noProof/>
          <w:color w:val="FFD9FF"/>
          <w:sz w:val="22"/>
          <w:szCs w:val="22"/>
          <w:shd w:val="clear" w:color="auto" w:fill="C48B01" w:themeFill="accent2" w:themeFillShade="BF"/>
        </w:rPr>
        <w:t xml:space="preserve"> </w:t>
      </w:r>
    </w:p>
    <w:p w14:paraId="1BBCA8E2" w14:textId="77777777" w:rsidR="00706BBD" w:rsidRPr="00815E7B" w:rsidRDefault="00B511F9" w:rsidP="00E24AB1">
      <w:pPr>
        <w:pStyle w:val="BodyText3"/>
        <w:spacing w:after="200" w:line="204" w:lineRule="auto"/>
        <w:jc w:val="center"/>
        <w:rPr>
          <w:rFonts w:ascii="Browallia New" w:hAnsi="Browallia New" w:cs="Browallia New"/>
          <w:i w:val="0"/>
          <w:sz w:val="28"/>
          <w:szCs w:val="28"/>
        </w:rPr>
      </w:pPr>
      <w:r w:rsidRPr="00B1123B">
        <w:rPr>
          <w:rFonts w:asciiTheme="majorHAnsi" w:hAnsiTheme="majorHAnsi" w:cs="Browallia New"/>
          <w:noProof/>
          <w:color w:val="FFD9FF"/>
          <w:sz w:val="22"/>
          <w:szCs w:val="22"/>
          <w:shd w:val="clear" w:color="auto" w:fill="C48B01" w:themeFill="accent2" w:themeFillShade="BF"/>
        </w:rPr>
        <w:drawing>
          <wp:inline distT="0" distB="0" distL="0" distR="0" wp14:anchorId="351370A2" wp14:editId="7C336D85">
            <wp:extent cx="5873750" cy="2865120"/>
            <wp:effectExtent l="0" t="0" r="0" b="0"/>
            <wp:docPr id="144" name="Chart 7" descr="Bar chart of organizations with complete ERM in place amont full samp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A7A9EA" w14:textId="77777777" w:rsidR="00B1123B" w:rsidRPr="0054728D" w:rsidRDefault="00770085" w:rsidP="0054728D">
      <w:pPr>
        <w:pStyle w:val="BodyText3"/>
        <w:spacing w:after="200" w:line="204" w:lineRule="auto"/>
        <w:jc w:val="both"/>
        <w:rPr>
          <w:rFonts w:ascii="Browallia New" w:hAnsi="Browallia New" w:cs="Browallia New"/>
          <w:i w:val="0"/>
          <w:sz w:val="28"/>
          <w:szCs w:val="28"/>
        </w:rPr>
      </w:pPr>
      <w:r w:rsidRPr="0054728D">
        <w:rPr>
          <w:rFonts w:ascii="Browallia New" w:hAnsi="Browallia New" w:cs="Browallia New"/>
          <w:i w:val="0"/>
          <w:sz w:val="28"/>
          <w:szCs w:val="28"/>
        </w:rPr>
        <w:t xml:space="preserve">In </w:t>
      </w:r>
      <w:r w:rsidR="00D404E0">
        <w:rPr>
          <w:rFonts w:ascii="Browallia New" w:hAnsi="Browallia New" w:cs="Browallia New"/>
          <w:i w:val="0"/>
          <w:sz w:val="28"/>
          <w:szCs w:val="28"/>
        </w:rPr>
        <w:t>2009</w:t>
      </w:r>
      <w:r w:rsidRPr="0054728D">
        <w:rPr>
          <w:rFonts w:ascii="Browallia New" w:hAnsi="Browallia New" w:cs="Browallia New"/>
          <w:i w:val="0"/>
          <w:sz w:val="28"/>
          <w:szCs w:val="28"/>
        </w:rPr>
        <w:t xml:space="preserve">, only </w:t>
      </w:r>
      <w:r w:rsidR="00551213" w:rsidRPr="0054728D">
        <w:rPr>
          <w:rFonts w:ascii="Browallia New" w:hAnsi="Browallia New" w:cs="Browallia New"/>
          <w:i w:val="0"/>
          <w:sz w:val="28"/>
          <w:szCs w:val="28"/>
        </w:rPr>
        <w:t>9%</w:t>
      </w:r>
      <w:r w:rsidR="005639CE" w:rsidRPr="0054728D">
        <w:rPr>
          <w:rFonts w:ascii="Browallia New" w:hAnsi="Browallia New" w:cs="Browallia New"/>
          <w:i w:val="0"/>
          <w:sz w:val="28"/>
          <w:szCs w:val="28"/>
        </w:rPr>
        <w:t xml:space="preserve"> </w:t>
      </w:r>
      <w:r w:rsidRPr="0054728D">
        <w:rPr>
          <w:rFonts w:ascii="Browallia New" w:hAnsi="Browallia New" w:cs="Browallia New"/>
          <w:i w:val="0"/>
          <w:sz w:val="28"/>
          <w:szCs w:val="28"/>
        </w:rPr>
        <w:t>of organizations claimed to have complete ERM pro</w:t>
      </w:r>
      <w:r w:rsidR="005F37E7" w:rsidRPr="0054728D">
        <w:rPr>
          <w:rFonts w:ascii="Browallia New" w:hAnsi="Browallia New" w:cs="Browallia New"/>
          <w:i w:val="0"/>
          <w:sz w:val="28"/>
          <w:szCs w:val="28"/>
        </w:rPr>
        <w:t>cesses in place; however, in 2017</w:t>
      </w:r>
      <w:r w:rsidR="00B1123B" w:rsidRPr="0054728D">
        <w:rPr>
          <w:rFonts w:ascii="Browallia New" w:hAnsi="Browallia New" w:cs="Browallia New"/>
          <w:i w:val="0"/>
          <w:sz w:val="28"/>
          <w:szCs w:val="28"/>
        </w:rPr>
        <w:t xml:space="preserve"> the percentage increased to 31% </w:t>
      </w:r>
      <w:r w:rsidRPr="0054728D">
        <w:rPr>
          <w:rFonts w:ascii="Browallia New" w:hAnsi="Browallia New" w:cs="Browallia New"/>
          <w:i w:val="0"/>
          <w:sz w:val="28"/>
          <w:szCs w:val="28"/>
        </w:rPr>
        <w:t>for the full sample.</w:t>
      </w:r>
      <w:r w:rsidR="00F0425F">
        <w:rPr>
          <w:rFonts w:ascii="Browallia New" w:hAnsi="Browallia New" w:cs="Browallia New"/>
          <w:i w:val="0"/>
          <w:sz w:val="28"/>
          <w:szCs w:val="28"/>
        </w:rPr>
        <w:t xml:space="preserve"> So, greater </w:t>
      </w:r>
      <w:r w:rsidR="00225A0C">
        <w:rPr>
          <w:rFonts w:ascii="Browallia New" w:hAnsi="Browallia New" w:cs="Browallia New"/>
          <w:i w:val="0"/>
          <w:sz w:val="28"/>
          <w:szCs w:val="28"/>
        </w:rPr>
        <w:t xml:space="preserve">adoption </w:t>
      </w:r>
      <w:r w:rsidR="00F0425F">
        <w:rPr>
          <w:rFonts w:ascii="Browallia New" w:hAnsi="Browallia New" w:cs="Browallia New"/>
          <w:i w:val="0"/>
          <w:sz w:val="28"/>
          <w:szCs w:val="28"/>
        </w:rPr>
        <w:t xml:space="preserve">of ERM has occurred. However, </w:t>
      </w:r>
      <w:r w:rsidR="0055025A" w:rsidRPr="0054728D">
        <w:rPr>
          <w:rFonts w:ascii="Browallia New" w:hAnsi="Browallia New" w:cs="Browallia New"/>
          <w:i w:val="0"/>
          <w:sz w:val="28"/>
          <w:szCs w:val="28"/>
        </w:rPr>
        <w:t>t</w:t>
      </w:r>
      <w:r w:rsidRPr="0054728D">
        <w:rPr>
          <w:rFonts w:ascii="Browallia New" w:hAnsi="Browallia New" w:cs="Browallia New"/>
          <w:i w:val="0"/>
          <w:sz w:val="28"/>
          <w:szCs w:val="28"/>
        </w:rPr>
        <w:t xml:space="preserve">here </w:t>
      </w:r>
      <w:r w:rsidR="0055025A" w:rsidRPr="0054728D">
        <w:rPr>
          <w:rFonts w:ascii="Browallia New" w:hAnsi="Browallia New" w:cs="Browallia New"/>
          <w:i w:val="0"/>
          <w:sz w:val="28"/>
          <w:szCs w:val="28"/>
        </w:rPr>
        <w:t xml:space="preserve">continues to be </w:t>
      </w:r>
      <w:r w:rsidRPr="0054728D">
        <w:rPr>
          <w:rFonts w:ascii="Browallia New" w:hAnsi="Browallia New" w:cs="Browallia New"/>
          <w:i w:val="0"/>
          <w:sz w:val="28"/>
          <w:szCs w:val="28"/>
        </w:rPr>
        <w:t>significant opportunity for improvement in most organizations</w:t>
      </w:r>
      <w:r w:rsidR="00844EC7" w:rsidRPr="0054728D">
        <w:rPr>
          <w:rFonts w:ascii="Browallia New" w:hAnsi="Browallia New" w:cs="Browallia New"/>
          <w:i w:val="0"/>
          <w:sz w:val="28"/>
          <w:szCs w:val="28"/>
        </w:rPr>
        <w:t xml:space="preserve">, given </w:t>
      </w:r>
      <w:r w:rsidR="005D7E30" w:rsidRPr="0054728D">
        <w:rPr>
          <w:rFonts w:ascii="Browallia New" w:hAnsi="Browallia New" w:cs="Browallia New"/>
          <w:i w:val="0"/>
          <w:sz w:val="28"/>
          <w:szCs w:val="28"/>
        </w:rPr>
        <w:t xml:space="preserve">that </w:t>
      </w:r>
      <w:r w:rsidR="00B1123B" w:rsidRPr="0054728D">
        <w:rPr>
          <w:rFonts w:ascii="Browallia New" w:hAnsi="Browallia New" w:cs="Browallia New"/>
          <w:i w:val="0"/>
          <w:sz w:val="28"/>
          <w:szCs w:val="28"/>
        </w:rPr>
        <w:t>more than two-thirds</w:t>
      </w:r>
      <w:r w:rsidR="00844EC7" w:rsidRPr="0054728D">
        <w:rPr>
          <w:rFonts w:ascii="Browallia New" w:hAnsi="Browallia New" w:cs="Browallia New"/>
          <w:i w:val="0"/>
          <w:sz w:val="28"/>
          <w:szCs w:val="28"/>
        </w:rPr>
        <w:t xml:space="preserve"> of organizations surveyed </w:t>
      </w:r>
      <w:r w:rsidR="00F0425F">
        <w:rPr>
          <w:rFonts w:ascii="Browallia New" w:hAnsi="Browallia New" w:cs="Browallia New"/>
          <w:i w:val="0"/>
          <w:sz w:val="28"/>
          <w:szCs w:val="28"/>
        </w:rPr>
        <w:t xml:space="preserve">in 2017 still </w:t>
      </w:r>
      <w:r w:rsidR="00844EC7" w:rsidRPr="0054728D">
        <w:rPr>
          <w:rFonts w:ascii="Browallia New" w:hAnsi="Browallia New" w:cs="Browallia New"/>
          <w:i w:val="0"/>
          <w:sz w:val="28"/>
          <w:szCs w:val="28"/>
        </w:rPr>
        <w:t>cannot yet claim they have “complete ERM in place.”</w:t>
      </w:r>
      <w:r w:rsidR="00AD76F3" w:rsidRPr="0054728D">
        <w:rPr>
          <w:rFonts w:ascii="Browallia New" w:hAnsi="Browallia New" w:cs="Browallia New"/>
          <w:i w:val="0"/>
          <w:sz w:val="28"/>
          <w:szCs w:val="28"/>
        </w:rPr>
        <w:t xml:space="preserve"> </w:t>
      </w:r>
    </w:p>
    <w:p w14:paraId="4E2E383E" w14:textId="77777777" w:rsidR="00B1123B" w:rsidRPr="0054728D" w:rsidRDefault="00B1123B" w:rsidP="0054728D">
      <w:pPr>
        <w:spacing w:line="204" w:lineRule="auto"/>
        <w:jc w:val="both"/>
        <w:rPr>
          <w:rFonts w:ascii="Browallia New" w:hAnsi="Browallia New" w:cs="Browallia New"/>
          <w:sz w:val="28"/>
          <w:szCs w:val="28"/>
        </w:rPr>
      </w:pPr>
      <w:r w:rsidRPr="0054728D">
        <w:rPr>
          <w:rFonts w:ascii="Browallia New" w:hAnsi="Browallia New" w:cs="Browallia New"/>
          <w:sz w:val="28"/>
          <w:szCs w:val="28"/>
        </w:rPr>
        <w:t xml:space="preserve">For the full sample, we found that </w:t>
      </w:r>
      <w:r w:rsidR="00F0425F">
        <w:rPr>
          <w:rFonts w:ascii="Browallia New" w:hAnsi="Browallia New" w:cs="Browallia New"/>
          <w:sz w:val="28"/>
          <w:szCs w:val="28"/>
        </w:rPr>
        <w:t>16%</w:t>
      </w:r>
      <w:r w:rsidRPr="0054728D">
        <w:rPr>
          <w:rFonts w:ascii="Browallia New" w:hAnsi="Browallia New" w:cs="Browallia New"/>
          <w:sz w:val="28"/>
          <w:szCs w:val="28"/>
        </w:rPr>
        <w:t xml:space="preserve"> of the respondents have no enterprise-wide risk management process in place. An additional 9% of respondents without ERM processes in place indicated that they are currently investigating the </w:t>
      </w:r>
      <w:proofErr w:type="gramStart"/>
      <w:r w:rsidRPr="0054728D">
        <w:rPr>
          <w:rFonts w:ascii="Browallia New" w:hAnsi="Browallia New" w:cs="Browallia New"/>
          <w:sz w:val="28"/>
          <w:szCs w:val="28"/>
        </w:rPr>
        <w:t>concept, but</w:t>
      </w:r>
      <w:proofErr w:type="gramEnd"/>
      <w:r w:rsidRPr="0054728D">
        <w:rPr>
          <w:rFonts w:ascii="Browallia New" w:hAnsi="Browallia New" w:cs="Browallia New"/>
          <w:sz w:val="28"/>
          <w:szCs w:val="28"/>
        </w:rPr>
        <w:t xml:space="preserve"> have made no decisions to implement an ERM approach to risk oversight at this tim</w:t>
      </w:r>
      <w:r w:rsidR="00F0425F">
        <w:rPr>
          <w:rFonts w:ascii="Browallia New" w:hAnsi="Browallia New" w:cs="Browallia New"/>
          <w:sz w:val="28"/>
          <w:szCs w:val="28"/>
        </w:rPr>
        <w:t>e. Thus, on a combined basis, a quarter</w:t>
      </w:r>
      <w:r w:rsidRPr="0054728D">
        <w:rPr>
          <w:rFonts w:ascii="Browallia New" w:hAnsi="Browallia New" w:cs="Browallia New"/>
          <w:sz w:val="28"/>
          <w:szCs w:val="28"/>
        </w:rPr>
        <w:t xml:space="preserve"> of respondents have no formal enterprise-wide approach to risk oversight and are currently making no plans to consider this form of risk oversight. That is a bit surprising as you consider the growing level of uncertainty in today’s marketplace.</w:t>
      </w:r>
    </w:p>
    <w:p w14:paraId="5E30923D" w14:textId="77777777" w:rsidR="00775C92" w:rsidRDefault="00775C92">
      <w:pPr>
        <w:rPr>
          <w:rFonts w:ascii="Browallia New" w:hAnsi="Browallia New" w:cs="Browallia New"/>
          <w:sz w:val="28"/>
          <w:szCs w:val="28"/>
        </w:rPr>
      </w:pPr>
      <w:r>
        <w:rPr>
          <w:rFonts w:ascii="Browallia New" w:hAnsi="Browallia New" w:cs="Browallia New"/>
          <w:i/>
          <w:sz w:val="28"/>
          <w:szCs w:val="28"/>
        </w:rPr>
        <w:br w:type="page"/>
      </w:r>
    </w:p>
    <w:p w14:paraId="086727B3" w14:textId="77777777" w:rsidR="003A4480" w:rsidRDefault="00706BBD" w:rsidP="0054728D">
      <w:pPr>
        <w:pStyle w:val="BodyText3"/>
        <w:spacing w:after="200" w:line="204" w:lineRule="auto"/>
        <w:jc w:val="both"/>
        <w:rPr>
          <w:rFonts w:ascii="Browallia New" w:hAnsi="Browallia New" w:cs="Browallia New"/>
          <w:i w:val="0"/>
          <w:sz w:val="28"/>
          <w:szCs w:val="28"/>
        </w:rPr>
      </w:pPr>
      <w:r w:rsidRPr="0054728D">
        <w:rPr>
          <w:rFonts w:ascii="Browallia New" w:hAnsi="Browallia New" w:cs="Browallia New"/>
          <w:i w:val="0"/>
          <w:sz w:val="28"/>
          <w:szCs w:val="28"/>
        </w:rPr>
        <w:lastRenderedPageBreak/>
        <w:t xml:space="preserve">The </w:t>
      </w:r>
      <w:r w:rsidR="004F3169" w:rsidRPr="0054728D">
        <w:rPr>
          <w:rFonts w:ascii="Browallia New" w:hAnsi="Browallia New" w:cs="Browallia New"/>
          <w:i w:val="0"/>
          <w:sz w:val="28"/>
          <w:szCs w:val="28"/>
        </w:rPr>
        <w:t xml:space="preserve">adoption </w:t>
      </w:r>
      <w:r w:rsidRPr="0054728D">
        <w:rPr>
          <w:rFonts w:ascii="Browallia New" w:hAnsi="Browallia New" w:cs="Browallia New"/>
          <w:i w:val="0"/>
          <w:sz w:val="28"/>
          <w:szCs w:val="28"/>
        </w:rPr>
        <w:t>of ERM is greatest for larger companies</w:t>
      </w:r>
      <w:r w:rsidR="00B1123B" w:rsidRPr="0054728D">
        <w:rPr>
          <w:rFonts w:ascii="Browallia New" w:hAnsi="Browallia New" w:cs="Browallia New"/>
          <w:i w:val="0"/>
          <w:sz w:val="28"/>
          <w:szCs w:val="28"/>
        </w:rPr>
        <w:t>,</w:t>
      </w:r>
      <w:r w:rsidRPr="0054728D">
        <w:rPr>
          <w:rFonts w:ascii="Browallia New" w:hAnsi="Browallia New" w:cs="Browallia New"/>
          <w:i w:val="0"/>
          <w:sz w:val="28"/>
          <w:szCs w:val="28"/>
        </w:rPr>
        <w:t xml:space="preserve"> public companies</w:t>
      </w:r>
      <w:r w:rsidR="00B1123B" w:rsidRPr="0054728D">
        <w:rPr>
          <w:rFonts w:ascii="Browallia New" w:hAnsi="Browallia New" w:cs="Browallia New"/>
          <w:i w:val="0"/>
          <w:sz w:val="28"/>
          <w:szCs w:val="28"/>
        </w:rPr>
        <w:t xml:space="preserve">, and </w:t>
      </w:r>
      <w:r w:rsidR="00225A0C">
        <w:rPr>
          <w:rFonts w:ascii="Browallia New" w:hAnsi="Browallia New" w:cs="Browallia New"/>
          <w:i w:val="0"/>
          <w:sz w:val="28"/>
          <w:szCs w:val="28"/>
        </w:rPr>
        <w:t>financial services</w:t>
      </w:r>
      <w:r w:rsidR="00225A0C" w:rsidRPr="0054728D">
        <w:rPr>
          <w:rFonts w:ascii="Browallia New" w:hAnsi="Browallia New" w:cs="Browallia New"/>
          <w:i w:val="0"/>
          <w:sz w:val="28"/>
          <w:szCs w:val="28"/>
        </w:rPr>
        <w:t xml:space="preserve"> </w:t>
      </w:r>
      <w:r w:rsidR="00812EF9" w:rsidRPr="0054728D">
        <w:rPr>
          <w:rFonts w:ascii="Browallia New" w:hAnsi="Browallia New" w:cs="Browallia New"/>
          <w:i w:val="0"/>
          <w:sz w:val="28"/>
          <w:szCs w:val="28"/>
        </w:rPr>
        <w:t xml:space="preserve">as summarized in the </w:t>
      </w:r>
      <w:r w:rsidR="000C55EC" w:rsidRPr="0054728D">
        <w:rPr>
          <w:rFonts w:ascii="Browallia New" w:hAnsi="Browallia New" w:cs="Browallia New"/>
          <w:i w:val="0"/>
          <w:sz w:val="28"/>
          <w:szCs w:val="28"/>
        </w:rPr>
        <w:t>table</w:t>
      </w:r>
      <w:r w:rsidR="00812EF9" w:rsidRPr="0054728D">
        <w:rPr>
          <w:rFonts w:ascii="Browallia New" w:hAnsi="Browallia New" w:cs="Browallia New"/>
          <w:i w:val="0"/>
          <w:sz w:val="28"/>
          <w:szCs w:val="28"/>
        </w:rPr>
        <w:t xml:space="preserve"> </w:t>
      </w:r>
      <w:r w:rsidR="00B1123B" w:rsidRPr="0054728D">
        <w:rPr>
          <w:rFonts w:ascii="Browallia New" w:hAnsi="Browallia New" w:cs="Browallia New"/>
          <w:i w:val="0"/>
          <w:sz w:val="28"/>
          <w:szCs w:val="28"/>
        </w:rPr>
        <w:t>below</w:t>
      </w:r>
      <w:r w:rsidRPr="0054728D">
        <w:rPr>
          <w:rFonts w:ascii="Browallia New" w:hAnsi="Browallia New" w:cs="Browallia New"/>
          <w:i w:val="0"/>
          <w:sz w:val="28"/>
          <w:szCs w:val="28"/>
        </w:rPr>
        <w:t xml:space="preserve">.  </w:t>
      </w:r>
    </w:p>
    <w:p w14:paraId="0E42D763" w14:textId="02114D8A" w:rsidR="00F6494D" w:rsidRPr="00F6494D" w:rsidRDefault="00F6494D" w:rsidP="00F6494D">
      <w:pPr>
        <w:spacing w:line="204" w:lineRule="auto"/>
        <w:jc w:val="both"/>
        <w:rPr>
          <w:b/>
          <w:bCs/>
          <w:smallCaps/>
          <w:color w:val="3891A7" w:themeColor="accent1"/>
          <w:spacing w:val="5"/>
        </w:rPr>
      </w:pPr>
      <w:r w:rsidRPr="00F6494D">
        <w:rPr>
          <w:rStyle w:val="IntenseReference"/>
          <w:color w:val="auto"/>
        </w:rPr>
        <w:t>PERCENTAGE OF RESPONDENTS</w:t>
      </w:r>
    </w:p>
    <w:tbl>
      <w:tblPr>
        <w:tblStyle w:val="ListTable3-Accent3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260"/>
        <w:gridCol w:w="1597"/>
        <w:gridCol w:w="1325"/>
        <w:gridCol w:w="1616"/>
        <w:gridCol w:w="1533"/>
      </w:tblGrid>
      <w:tr w:rsidR="00F6494D" w:rsidRPr="00F46D57" w14:paraId="2090A421"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shd w:val="clear" w:color="auto" w:fill="A6A6A6" w:themeFill="background1" w:themeFillShade="A6"/>
          </w:tcPr>
          <w:p w14:paraId="5F96EA6D" w14:textId="77777777" w:rsidR="00F6494D" w:rsidRPr="003B1178" w:rsidRDefault="00F6494D" w:rsidP="001D7891">
            <w:pPr>
              <w:spacing w:line="180" w:lineRule="auto"/>
              <w:rPr>
                <w:rFonts w:ascii="Browallia New" w:hAnsi="Browallia New" w:cs="Browallia New"/>
                <w:color w:val="auto"/>
                <w:sz w:val="24"/>
                <w:szCs w:val="24"/>
                <w:u w:val="single"/>
              </w:rPr>
            </w:pPr>
          </w:p>
          <w:p w14:paraId="3BAC5195" w14:textId="77777777" w:rsidR="00F6494D" w:rsidRPr="003B1178" w:rsidRDefault="00F6494D" w:rsidP="001D7891">
            <w:pPr>
              <w:spacing w:line="180" w:lineRule="auto"/>
              <w:rPr>
                <w:rFonts w:ascii="Browallia New" w:hAnsi="Browallia New" w:cs="Browallia New"/>
                <w:color w:val="auto"/>
                <w:sz w:val="24"/>
                <w:szCs w:val="24"/>
                <w:u w:val="single"/>
              </w:rPr>
            </w:pPr>
            <w:r w:rsidRPr="003B1178">
              <w:rPr>
                <w:rFonts w:ascii="Browallia New" w:hAnsi="Browallia New" w:cs="Browallia New"/>
                <w:color w:val="auto"/>
                <w:sz w:val="24"/>
                <w:szCs w:val="24"/>
              </w:rPr>
              <w:t>Description of the State of</w:t>
            </w:r>
            <w:r w:rsidRPr="003B1178">
              <w:rPr>
                <w:rFonts w:ascii="Browallia New" w:hAnsi="Browallia New" w:cs="Browallia New"/>
                <w:color w:val="auto"/>
                <w:sz w:val="24"/>
                <w:szCs w:val="24"/>
                <w:u w:val="single"/>
              </w:rPr>
              <w:t xml:space="preserve"> ERM Currently in Place</w:t>
            </w:r>
          </w:p>
        </w:tc>
        <w:tc>
          <w:tcPr>
            <w:tcW w:w="1260" w:type="dxa"/>
            <w:shd w:val="clear" w:color="auto" w:fill="A6A6A6" w:themeFill="background1" w:themeFillShade="A6"/>
          </w:tcPr>
          <w:p w14:paraId="7450D02E"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p>
          <w:p w14:paraId="581F5964" w14:textId="3B202C65" w:rsidR="00F6494D" w:rsidRPr="003B1178" w:rsidRDefault="00F6494D" w:rsidP="00F6494D">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Cs w:val="0"/>
                <w:sz w:val="24"/>
                <w:szCs w:val="24"/>
                <w:u w:val="single"/>
              </w:rPr>
            </w:pPr>
            <w:r w:rsidRPr="003B1178">
              <w:rPr>
                <w:rFonts w:ascii="Browallia New" w:hAnsi="Browallia New" w:cs="Browallia New"/>
                <w:color w:val="auto"/>
                <w:sz w:val="24"/>
                <w:szCs w:val="24"/>
                <w:u w:val="single"/>
              </w:rPr>
              <w:t>Full Sample</w:t>
            </w:r>
          </w:p>
        </w:tc>
        <w:tc>
          <w:tcPr>
            <w:tcW w:w="1597" w:type="dxa"/>
            <w:shd w:val="clear" w:color="auto" w:fill="A6A6A6" w:themeFill="background1" w:themeFillShade="A6"/>
          </w:tcPr>
          <w:p w14:paraId="2155A470" w14:textId="0EE6AD8E"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rPr>
              <w:t>Largest Organizations</w:t>
            </w:r>
            <w:r w:rsidRPr="003B1178">
              <w:rPr>
                <w:rFonts w:ascii="Browallia New" w:hAnsi="Browallia New" w:cs="Browallia New"/>
                <w:color w:val="auto"/>
                <w:sz w:val="24"/>
                <w:szCs w:val="24"/>
                <w:u w:val="single"/>
              </w:rPr>
              <w:t xml:space="preserve"> (Revenues &gt;$1B)</w:t>
            </w:r>
          </w:p>
        </w:tc>
        <w:tc>
          <w:tcPr>
            <w:tcW w:w="1325" w:type="dxa"/>
            <w:shd w:val="clear" w:color="auto" w:fill="A6A6A6" w:themeFill="background1" w:themeFillShade="A6"/>
          </w:tcPr>
          <w:p w14:paraId="6D92188E"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p>
          <w:p w14:paraId="18C4DE73"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rPr>
              <w:t xml:space="preserve">Public </w:t>
            </w:r>
            <w:r w:rsidRPr="003B1178">
              <w:rPr>
                <w:rFonts w:ascii="Browallia New" w:hAnsi="Browallia New" w:cs="Browallia New"/>
                <w:color w:val="auto"/>
                <w:sz w:val="24"/>
                <w:szCs w:val="24"/>
                <w:u w:val="single"/>
              </w:rPr>
              <w:t>Companies</w:t>
            </w:r>
          </w:p>
        </w:tc>
        <w:tc>
          <w:tcPr>
            <w:tcW w:w="1616" w:type="dxa"/>
            <w:shd w:val="clear" w:color="auto" w:fill="A6A6A6" w:themeFill="background1" w:themeFillShade="A6"/>
          </w:tcPr>
          <w:p w14:paraId="539693C1"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p>
          <w:p w14:paraId="52AF32DF"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rPr>
            </w:pPr>
            <w:r w:rsidRPr="003B1178">
              <w:rPr>
                <w:rFonts w:ascii="Browallia New" w:hAnsi="Browallia New" w:cs="Browallia New"/>
                <w:color w:val="auto"/>
                <w:sz w:val="24"/>
                <w:szCs w:val="24"/>
              </w:rPr>
              <w:t xml:space="preserve">Financial </w:t>
            </w:r>
          </w:p>
          <w:p w14:paraId="263F7419"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u w:val="single"/>
              </w:rPr>
              <w:t xml:space="preserve">Services </w:t>
            </w:r>
          </w:p>
        </w:tc>
        <w:tc>
          <w:tcPr>
            <w:tcW w:w="1533" w:type="dxa"/>
            <w:shd w:val="clear" w:color="auto" w:fill="A6A6A6" w:themeFill="background1" w:themeFillShade="A6"/>
          </w:tcPr>
          <w:p w14:paraId="6B55A9D0"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p>
          <w:p w14:paraId="50607C62" w14:textId="77777777" w:rsidR="00F6494D" w:rsidRPr="003B1178" w:rsidRDefault="00F6494D" w:rsidP="001D7891">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sz w:val="24"/>
                <w:szCs w:val="24"/>
                <w:u w:val="single"/>
              </w:rPr>
            </w:pPr>
            <w:r w:rsidRPr="003B1178">
              <w:rPr>
                <w:rFonts w:ascii="Browallia New" w:hAnsi="Browallia New" w:cs="Browallia New"/>
                <w:color w:val="auto"/>
                <w:sz w:val="24"/>
                <w:szCs w:val="24"/>
              </w:rPr>
              <w:t>Not-For-Profit</w:t>
            </w:r>
            <w:r w:rsidRPr="003B1178">
              <w:rPr>
                <w:rFonts w:ascii="Browallia New" w:hAnsi="Browallia New" w:cs="Browallia New"/>
                <w:color w:val="auto"/>
                <w:sz w:val="24"/>
                <w:szCs w:val="24"/>
                <w:u w:val="single"/>
              </w:rPr>
              <w:t xml:space="preserve"> Organizations</w:t>
            </w:r>
          </w:p>
        </w:tc>
      </w:tr>
      <w:tr w:rsidR="00B1123B" w:rsidRPr="00B1123B" w14:paraId="35E51B8B"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right w:val="none" w:sz="0" w:space="0" w:color="auto"/>
            </w:tcBorders>
          </w:tcPr>
          <w:p w14:paraId="67F5485F" w14:textId="77777777" w:rsidR="001D7891" w:rsidRPr="003B1178" w:rsidRDefault="001D7891" w:rsidP="00B1123B">
            <w:pPr>
              <w:spacing w:line="168" w:lineRule="auto"/>
              <w:rPr>
                <w:rFonts w:ascii="Browallia New" w:hAnsi="Browallia New" w:cs="Browallia New"/>
                <w:sz w:val="24"/>
                <w:szCs w:val="24"/>
              </w:rPr>
            </w:pPr>
          </w:p>
          <w:p w14:paraId="47E6622B" w14:textId="77777777" w:rsidR="00E2337F" w:rsidRPr="003B1178" w:rsidRDefault="00E2337F" w:rsidP="00B1123B">
            <w:pPr>
              <w:spacing w:line="168" w:lineRule="auto"/>
              <w:rPr>
                <w:rFonts w:ascii="Browallia New" w:hAnsi="Browallia New" w:cs="Browallia New"/>
                <w:sz w:val="24"/>
                <w:szCs w:val="24"/>
              </w:rPr>
            </w:pPr>
            <w:r w:rsidRPr="003B1178">
              <w:rPr>
                <w:rFonts w:ascii="Browallia New" w:hAnsi="Browallia New" w:cs="Browallia New"/>
                <w:sz w:val="24"/>
                <w:szCs w:val="24"/>
              </w:rPr>
              <w:t>No enterprise-wide management process in place</w:t>
            </w:r>
          </w:p>
          <w:p w14:paraId="6C50D68C" w14:textId="77777777" w:rsidR="00B1123B" w:rsidRPr="003B1178" w:rsidRDefault="00B1123B" w:rsidP="00B1123B">
            <w:pPr>
              <w:spacing w:line="168" w:lineRule="auto"/>
              <w:rPr>
                <w:rFonts w:ascii="Browallia New" w:hAnsi="Browallia New" w:cs="Browallia New"/>
                <w:sz w:val="24"/>
                <w:szCs w:val="24"/>
              </w:rPr>
            </w:pPr>
          </w:p>
        </w:tc>
        <w:tc>
          <w:tcPr>
            <w:tcW w:w="1260" w:type="dxa"/>
            <w:tcBorders>
              <w:top w:val="none" w:sz="0" w:space="0" w:color="auto"/>
              <w:bottom w:val="none" w:sz="0" w:space="0" w:color="auto"/>
            </w:tcBorders>
            <w:shd w:val="clear" w:color="auto" w:fill="FFFFFF" w:themeFill="background1"/>
          </w:tcPr>
          <w:p w14:paraId="7443AB46" w14:textId="77777777" w:rsidR="001D7891" w:rsidRPr="003B1178" w:rsidRDefault="001D7891"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p>
          <w:p w14:paraId="630E845A" w14:textId="77777777" w:rsidR="00E2337F" w:rsidRPr="003B1178" w:rsidRDefault="00E851DE" w:rsidP="00D404E0">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1</w:t>
            </w:r>
            <w:r w:rsidR="00D404E0" w:rsidRPr="003B1178">
              <w:rPr>
                <w:rFonts w:ascii="Browallia New" w:hAnsi="Browallia New" w:cs="Browallia New"/>
                <w:b/>
                <w:sz w:val="24"/>
                <w:szCs w:val="24"/>
              </w:rPr>
              <w:t>6</w:t>
            </w:r>
            <w:r w:rsidRPr="003B1178">
              <w:rPr>
                <w:rFonts w:ascii="Browallia New" w:hAnsi="Browallia New" w:cs="Browallia New"/>
                <w:b/>
                <w:sz w:val="24"/>
                <w:szCs w:val="24"/>
              </w:rPr>
              <w:t>%</w:t>
            </w:r>
          </w:p>
        </w:tc>
        <w:tc>
          <w:tcPr>
            <w:tcW w:w="1597" w:type="dxa"/>
            <w:tcBorders>
              <w:top w:val="none" w:sz="0" w:space="0" w:color="auto"/>
              <w:bottom w:val="none" w:sz="0" w:space="0" w:color="auto"/>
            </w:tcBorders>
            <w:shd w:val="clear" w:color="auto" w:fill="FFFFFF" w:themeFill="background1"/>
          </w:tcPr>
          <w:p w14:paraId="3EF86E80" w14:textId="77777777" w:rsidR="001D7891" w:rsidRPr="003B1178" w:rsidRDefault="001D7891"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p>
          <w:p w14:paraId="5BB3FD5D"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w:t>
            </w:r>
          </w:p>
        </w:tc>
        <w:tc>
          <w:tcPr>
            <w:tcW w:w="1325" w:type="dxa"/>
            <w:tcBorders>
              <w:top w:val="none" w:sz="0" w:space="0" w:color="auto"/>
              <w:bottom w:val="none" w:sz="0" w:space="0" w:color="auto"/>
            </w:tcBorders>
            <w:shd w:val="clear" w:color="auto" w:fill="FFFFFF" w:themeFill="background1"/>
          </w:tcPr>
          <w:p w14:paraId="230BC2F6" w14:textId="77777777" w:rsidR="001D7891" w:rsidRPr="003B1178" w:rsidRDefault="001D7891"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p>
          <w:p w14:paraId="1543199B"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2%</w:t>
            </w:r>
          </w:p>
        </w:tc>
        <w:tc>
          <w:tcPr>
            <w:tcW w:w="1616" w:type="dxa"/>
            <w:tcBorders>
              <w:top w:val="none" w:sz="0" w:space="0" w:color="auto"/>
              <w:bottom w:val="none" w:sz="0" w:space="0" w:color="auto"/>
            </w:tcBorders>
            <w:shd w:val="clear" w:color="auto" w:fill="FFFFFF" w:themeFill="background1"/>
          </w:tcPr>
          <w:p w14:paraId="4A3A18AA" w14:textId="77777777" w:rsidR="001D7891" w:rsidRPr="003B1178" w:rsidRDefault="001D7891"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p>
          <w:p w14:paraId="31D104EE"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7%</w:t>
            </w:r>
          </w:p>
        </w:tc>
        <w:tc>
          <w:tcPr>
            <w:tcW w:w="1533" w:type="dxa"/>
            <w:tcBorders>
              <w:top w:val="none" w:sz="0" w:space="0" w:color="auto"/>
              <w:bottom w:val="none" w:sz="0" w:space="0" w:color="auto"/>
            </w:tcBorders>
            <w:shd w:val="clear" w:color="auto" w:fill="FFFFFF" w:themeFill="background1"/>
          </w:tcPr>
          <w:p w14:paraId="3AB6E9C4" w14:textId="77777777" w:rsidR="001D7891" w:rsidRPr="003B1178" w:rsidRDefault="001D7891" w:rsidP="00244AF0">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p>
          <w:p w14:paraId="1632CCBD" w14:textId="77777777" w:rsidR="00E2337F" w:rsidRPr="003B1178" w:rsidRDefault="00E21D7A" w:rsidP="00244AF0">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9%</w:t>
            </w:r>
          </w:p>
        </w:tc>
      </w:tr>
      <w:tr w:rsidR="00B1123B" w:rsidRPr="00B1123B" w14:paraId="632EC63A" w14:textId="77777777" w:rsidTr="00F6494D">
        <w:tc>
          <w:tcPr>
            <w:cnfStyle w:val="001000000000" w:firstRow="0" w:lastRow="0" w:firstColumn="1" w:lastColumn="0" w:oddVBand="0" w:evenVBand="0" w:oddHBand="0" w:evenHBand="0" w:firstRowFirstColumn="0" w:firstRowLastColumn="0" w:lastRowFirstColumn="0" w:lastRowLastColumn="0"/>
            <w:tcW w:w="2245" w:type="dxa"/>
            <w:tcBorders>
              <w:right w:val="none" w:sz="0" w:space="0" w:color="auto"/>
            </w:tcBorders>
          </w:tcPr>
          <w:p w14:paraId="315E75C5" w14:textId="77777777" w:rsidR="00E2337F" w:rsidRPr="003B1178" w:rsidRDefault="00E2337F" w:rsidP="00B1123B">
            <w:pPr>
              <w:spacing w:line="168" w:lineRule="auto"/>
              <w:rPr>
                <w:rFonts w:ascii="Browallia New" w:hAnsi="Browallia New" w:cs="Browallia New"/>
                <w:sz w:val="24"/>
                <w:szCs w:val="24"/>
              </w:rPr>
            </w:pPr>
            <w:r w:rsidRPr="003B1178">
              <w:rPr>
                <w:rFonts w:ascii="Browallia New" w:hAnsi="Browallia New" w:cs="Browallia New"/>
                <w:sz w:val="24"/>
                <w:szCs w:val="24"/>
              </w:rPr>
              <w:t>Currently investigating concept of enterprise-wide risk management, but have made no decisions yet</w:t>
            </w:r>
          </w:p>
          <w:p w14:paraId="0FD8CAFB" w14:textId="77777777" w:rsidR="00B1123B" w:rsidRPr="003B1178" w:rsidRDefault="00B1123B" w:rsidP="00B1123B">
            <w:pPr>
              <w:spacing w:line="168" w:lineRule="auto"/>
              <w:rPr>
                <w:rFonts w:ascii="Browallia New" w:hAnsi="Browallia New" w:cs="Browallia New"/>
                <w:sz w:val="24"/>
                <w:szCs w:val="24"/>
              </w:rPr>
            </w:pPr>
          </w:p>
        </w:tc>
        <w:tc>
          <w:tcPr>
            <w:tcW w:w="1260" w:type="dxa"/>
            <w:shd w:val="clear" w:color="auto" w:fill="FFFFFF" w:themeFill="background1"/>
          </w:tcPr>
          <w:p w14:paraId="0AEFAC72" w14:textId="77777777" w:rsidR="00E2337F" w:rsidRPr="003B1178" w:rsidRDefault="00E851DE"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9%</w:t>
            </w:r>
          </w:p>
        </w:tc>
        <w:tc>
          <w:tcPr>
            <w:tcW w:w="1597" w:type="dxa"/>
            <w:shd w:val="clear" w:color="auto" w:fill="FFFFFF" w:themeFill="background1"/>
          </w:tcPr>
          <w:p w14:paraId="27B739CD" w14:textId="77777777" w:rsidR="00E2337F" w:rsidRPr="003B1178" w:rsidRDefault="00E21D7A"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w:t>
            </w:r>
          </w:p>
        </w:tc>
        <w:tc>
          <w:tcPr>
            <w:tcW w:w="1325" w:type="dxa"/>
            <w:shd w:val="clear" w:color="auto" w:fill="FFFFFF" w:themeFill="background1"/>
          </w:tcPr>
          <w:p w14:paraId="3B3143A4" w14:textId="77777777" w:rsidR="00E2337F" w:rsidRPr="003B1178" w:rsidRDefault="00E21D7A"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w:t>
            </w:r>
          </w:p>
        </w:tc>
        <w:tc>
          <w:tcPr>
            <w:tcW w:w="1616" w:type="dxa"/>
            <w:shd w:val="clear" w:color="auto" w:fill="FFFFFF" w:themeFill="background1"/>
          </w:tcPr>
          <w:p w14:paraId="6BFCC012" w14:textId="77777777" w:rsidR="00E2337F" w:rsidRPr="003B1178" w:rsidRDefault="00E21D7A"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2%</w:t>
            </w:r>
          </w:p>
        </w:tc>
        <w:tc>
          <w:tcPr>
            <w:tcW w:w="1533" w:type="dxa"/>
            <w:shd w:val="clear" w:color="auto" w:fill="FFFFFF" w:themeFill="background1"/>
          </w:tcPr>
          <w:p w14:paraId="5A61560B" w14:textId="77777777" w:rsidR="00E2337F" w:rsidRPr="003B1178" w:rsidRDefault="00706EAC" w:rsidP="00244AF0">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13</w:t>
            </w:r>
            <w:r w:rsidR="00E21D7A" w:rsidRPr="003B1178">
              <w:rPr>
                <w:rFonts w:ascii="Browallia New" w:hAnsi="Browallia New" w:cs="Browallia New"/>
                <w:b/>
                <w:sz w:val="24"/>
                <w:szCs w:val="24"/>
              </w:rPr>
              <w:t>%</w:t>
            </w:r>
          </w:p>
        </w:tc>
      </w:tr>
      <w:tr w:rsidR="00B1123B" w:rsidRPr="00B1123B" w14:paraId="50A7415E"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right w:val="none" w:sz="0" w:space="0" w:color="auto"/>
            </w:tcBorders>
          </w:tcPr>
          <w:p w14:paraId="14777DEF" w14:textId="77777777" w:rsidR="00E2337F" w:rsidRPr="003B1178" w:rsidRDefault="00E2337F" w:rsidP="00B1123B">
            <w:pPr>
              <w:spacing w:line="168" w:lineRule="auto"/>
              <w:rPr>
                <w:rFonts w:ascii="Browallia New" w:hAnsi="Browallia New" w:cs="Browallia New"/>
                <w:sz w:val="24"/>
                <w:szCs w:val="24"/>
              </w:rPr>
            </w:pPr>
            <w:r w:rsidRPr="003B1178">
              <w:rPr>
                <w:rFonts w:ascii="Browallia New" w:hAnsi="Browallia New" w:cs="Browallia New"/>
                <w:sz w:val="24"/>
                <w:szCs w:val="24"/>
              </w:rPr>
              <w:t>No formal enterprise-wide risk management process in place, but have plans to implement one</w:t>
            </w:r>
          </w:p>
          <w:p w14:paraId="4726EBA7" w14:textId="77777777" w:rsidR="00B1123B" w:rsidRPr="003B1178" w:rsidRDefault="00B1123B" w:rsidP="00B1123B">
            <w:pPr>
              <w:spacing w:line="168" w:lineRule="auto"/>
              <w:rPr>
                <w:rFonts w:ascii="Browallia New" w:hAnsi="Browallia New" w:cs="Browallia New"/>
                <w:sz w:val="24"/>
                <w:szCs w:val="24"/>
              </w:rPr>
            </w:pPr>
          </w:p>
        </w:tc>
        <w:tc>
          <w:tcPr>
            <w:tcW w:w="1260" w:type="dxa"/>
            <w:tcBorders>
              <w:top w:val="none" w:sz="0" w:space="0" w:color="auto"/>
              <w:bottom w:val="none" w:sz="0" w:space="0" w:color="auto"/>
            </w:tcBorders>
            <w:shd w:val="clear" w:color="auto" w:fill="FFFFFF" w:themeFill="background1"/>
          </w:tcPr>
          <w:p w14:paraId="3B2B377E" w14:textId="77777777" w:rsidR="00E2337F" w:rsidRPr="003B1178" w:rsidRDefault="00E851DE"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7%</w:t>
            </w:r>
          </w:p>
        </w:tc>
        <w:tc>
          <w:tcPr>
            <w:tcW w:w="1597" w:type="dxa"/>
            <w:tcBorders>
              <w:top w:val="none" w:sz="0" w:space="0" w:color="auto"/>
              <w:bottom w:val="none" w:sz="0" w:space="0" w:color="auto"/>
            </w:tcBorders>
            <w:shd w:val="clear" w:color="auto" w:fill="FFFFFF" w:themeFill="background1"/>
          </w:tcPr>
          <w:p w14:paraId="03FC9DBE"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5%</w:t>
            </w:r>
          </w:p>
        </w:tc>
        <w:tc>
          <w:tcPr>
            <w:tcW w:w="1325" w:type="dxa"/>
            <w:tcBorders>
              <w:top w:val="none" w:sz="0" w:space="0" w:color="auto"/>
              <w:bottom w:val="none" w:sz="0" w:space="0" w:color="auto"/>
            </w:tcBorders>
            <w:shd w:val="clear" w:color="auto" w:fill="FFFFFF" w:themeFill="background1"/>
          </w:tcPr>
          <w:p w14:paraId="0D3C21A6"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w:t>
            </w:r>
          </w:p>
        </w:tc>
        <w:tc>
          <w:tcPr>
            <w:tcW w:w="1616" w:type="dxa"/>
            <w:tcBorders>
              <w:top w:val="none" w:sz="0" w:space="0" w:color="auto"/>
              <w:bottom w:val="none" w:sz="0" w:space="0" w:color="auto"/>
            </w:tcBorders>
            <w:shd w:val="clear" w:color="auto" w:fill="FFFFFF" w:themeFill="background1"/>
          </w:tcPr>
          <w:p w14:paraId="56E38371"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w:t>
            </w:r>
          </w:p>
        </w:tc>
        <w:tc>
          <w:tcPr>
            <w:tcW w:w="1533" w:type="dxa"/>
            <w:tcBorders>
              <w:top w:val="none" w:sz="0" w:space="0" w:color="auto"/>
              <w:bottom w:val="none" w:sz="0" w:space="0" w:color="auto"/>
            </w:tcBorders>
            <w:shd w:val="clear" w:color="auto" w:fill="FFFFFF" w:themeFill="background1"/>
          </w:tcPr>
          <w:p w14:paraId="71367158" w14:textId="77777777" w:rsidR="00E2337F" w:rsidRPr="003B1178" w:rsidRDefault="00E21D7A" w:rsidP="00244AF0">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11%</w:t>
            </w:r>
          </w:p>
        </w:tc>
      </w:tr>
      <w:tr w:rsidR="00B1123B" w:rsidRPr="00B1123B" w14:paraId="7A890E83" w14:textId="77777777" w:rsidTr="00F6494D">
        <w:tc>
          <w:tcPr>
            <w:cnfStyle w:val="001000000000" w:firstRow="0" w:lastRow="0" w:firstColumn="1" w:lastColumn="0" w:oddVBand="0" w:evenVBand="0" w:oddHBand="0" w:evenHBand="0" w:firstRowFirstColumn="0" w:firstRowLastColumn="0" w:lastRowFirstColumn="0" w:lastRowLastColumn="0"/>
            <w:tcW w:w="2245" w:type="dxa"/>
            <w:tcBorders>
              <w:right w:val="none" w:sz="0" w:space="0" w:color="auto"/>
            </w:tcBorders>
          </w:tcPr>
          <w:p w14:paraId="3B838B7D" w14:textId="77777777" w:rsidR="00E2337F" w:rsidRPr="003B1178" w:rsidRDefault="00E2337F" w:rsidP="00B1123B">
            <w:pPr>
              <w:spacing w:line="168" w:lineRule="auto"/>
              <w:rPr>
                <w:rFonts w:ascii="Browallia New" w:hAnsi="Browallia New" w:cs="Browallia New"/>
                <w:sz w:val="24"/>
                <w:szCs w:val="24"/>
              </w:rPr>
            </w:pPr>
            <w:r w:rsidRPr="003B1178">
              <w:rPr>
                <w:rFonts w:ascii="Browallia New" w:hAnsi="Browallia New" w:cs="Browallia New"/>
                <w:sz w:val="24"/>
                <w:szCs w:val="24"/>
              </w:rPr>
              <w:t>Partial enterprise-wide risk management process in place (i.e., some, but not all, risk areas addressed)</w:t>
            </w:r>
          </w:p>
          <w:p w14:paraId="408B1A2B" w14:textId="77777777" w:rsidR="00B1123B" w:rsidRPr="003B1178" w:rsidRDefault="00B1123B" w:rsidP="00B1123B">
            <w:pPr>
              <w:spacing w:line="168" w:lineRule="auto"/>
              <w:rPr>
                <w:rFonts w:ascii="Browallia New" w:hAnsi="Browallia New" w:cs="Browallia New"/>
                <w:sz w:val="24"/>
                <w:szCs w:val="24"/>
              </w:rPr>
            </w:pPr>
          </w:p>
        </w:tc>
        <w:tc>
          <w:tcPr>
            <w:tcW w:w="1260" w:type="dxa"/>
            <w:shd w:val="clear" w:color="auto" w:fill="FFFFFF" w:themeFill="background1"/>
          </w:tcPr>
          <w:p w14:paraId="3377C2B5" w14:textId="77777777" w:rsidR="00E2337F" w:rsidRPr="003B1178" w:rsidRDefault="00E851DE"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37%</w:t>
            </w:r>
          </w:p>
        </w:tc>
        <w:tc>
          <w:tcPr>
            <w:tcW w:w="1597" w:type="dxa"/>
            <w:shd w:val="clear" w:color="auto" w:fill="FFFFFF" w:themeFill="background1"/>
          </w:tcPr>
          <w:p w14:paraId="1475607D" w14:textId="77777777" w:rsidR="00E2337F" w:rsidRPr="003B1178" w:rsidRDefault="00E21D7A"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40%</w:t>
            </w:r>
          </w:p>
        </w:tc>
        <w:tc>
          <w:tcPr>
            <w:tcW w:w="1325" w:type="dxa"/>
            <w:shd w:val="clear" w:color="auto" w:fill="FFFFFF" w:themeFill="background1"/>
          </w:tcPr>
          <w:p w14:paraId="760360DE" w14:textId="77777777" w:rsidR="00E2337F" w:rsidRPr="003B1178" w:rsidRDefault="00E21D7A"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39%</w:t>
            </w:r>
          </w:p>
        </w:tc>
        <w:tc>
          <w:tcPr>
            <w:tcW w:w="1616" w:type="dxa"/>
            <w:shd w:val="clear" w:color="auto" w:fill="FFFFFF" w:themeFill="background1"/>
          </w:tcPr>
          <w:p w14:paraId="7AA80D18" w14:textId="77777777" w:rsidR="00E2337F" w:rsidRPr="003B1178" w:rsidRDefault="00E21D7A" w:rsidP="00B1123B">
            <w:pPr>
              <w:spacing w:line="168"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38%</w:t>
            </w:r>
          </w:p>
        </w:tc>
        <w:tc>
          <w:tcPr>
            <w:tcW w:w="1533" w:type="dxa"/>
            <w:shd w:val="clear" w:color="auto" w:fill="FFFFFF" w:themeFill="background1"/>
          </w:tcPr>
          <w:p w14:paraId="1C0B5A04" w14:textId="77777777" w:rsidR="00E2337F" w:rsidRPr="003B1178" w:rsidRDefault="00E21D7A" w:rsidP="00244AF0">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40%</w:t>
            </w:r>
          </w:p>
        </w:tc>
      </w:tr>
      <w:tr w:rsidR="00B1123B" w:rsidRPr="00B1123B" w14:paraId="5702661E"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right w:val="none" w:sz="0" w:space="0" w:color="auto"/>
            </w:tcBorders>
          </w:tcPr>
          <w:p w14:paraId="76FEA73B" w14:textId="77777777" w:rsidR="00E2337F" w:rsidRPr="003B1178" w:rsidRDefault="00E2337F" w:rsidP="00B1123B">
            <w:pPr>
              <w:spacing w:line="168" w:lineRule="auto"/>
              <w:rPr>
                <w:rFonts w:ascii="Browallia New" w:hAnsi="Browallia New" w:cs="Browallia New"/>
                <w:sz w:val="24"/>
                <w:szCs w:val="24"/>
              </w:rPr>
            </w:pPr>
            <w:r w:rsidRPr="003B1178">
              <w:rPr>
                <w:rFonts w:ascii="Browallia New" w:hAnsi="Browallia New" w:cs="Browallia New"/>
                <w:sz w:val="24"/>
                <w:szCs w:val="24"/>
              </w:rPr>
              <w:t>Complete formal enterprise-wide risk management process in place</w:t>
            </w:r>
          </w:p>
        </w:tc>
        <w:tc>
          <w:tcPr>
            <w:tcW w:w="1260" w:type="dxa"/>
            <w:tcBorders>
              <w:top w:val="none" w:sz="0" w:space="0" w:color="auto"/>
              <w:bottom w:val="none" w:sz="0" w:space="0" w:color="auto"/>
            </w:tcBorders>
            <w:shd w:val="clear" w:color="auto" w:fill="FFFFFF" w:themeFill="background1"/>
          </w:tcPr>
          <w:p w14:paraId="22627527" w14:textId="77777777" w:rsidR="00E2337F" w:rsidRPr="003B1178" w:rsidRDefault="00E851DE"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31%</w:t>
            </w:r>
          </w:p>
        </w:tc>
        <w:tc>
          <w:tcPr>
            <w:tcW w:w="1597" w:type="dxa"/>
            <w:tcBorders>
              <w:top w:val="none" w:sz="0" w:space="0" w:color="auto"/>
              <w:bottom w:val="none" w:sz="0" w:space="0" w:color="auto"/>
            </w:tcBorders>
            <w:shd w:val="clear" w:color="auto" w:fill="FFFFFF" w:themeFill="background1"/>
          </w:tcPr>
          <w:p w14:paraId="3635103E"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48%</w:t>
            </w:r>
          </w:p>
        </w:tc>
        <w:tc>
          <w:tcPr>
            <w:tcW w:w="1325" w:type="dxa"/>
            <w:tcBorders>
              <w:top w:val="none" w:sz="0" w:space="0" w:color="auto"/>
              <w:bottom w:val="none" w:sz="0" w:space="0" w:color="auto"/>
            </w:tcBorders>
            <w:shd w:val="clear" w:color="auto" w:fill="FFFFFF" w:themeFill="background1"/>
          </w:tcPr>
          <w:p w14:paraId="2CBCE168"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51%</w:t>
            </w:r>
          </w:p>
        </w:tc>
        <w:tc>
          <w:tcPr>
            <w:tcW w:w="1616" w:type="dxa"/>
            <w:tcBorders>
              <w:top w:val="none" w:sz="0" w:space="0" w:color="auto"/>
              <w:bottom w:val="none" w:sz="0" w:space="0" w:color="auto"/>
            </w:tcBorders>
            <w:shd w:val="clear" w:color="auto" w:fill="FFFFFF" w:themeFill="background1"/>
          </w:tcPr>
          <w:p w14:paraId="6520262D" w14:textId="77777777" w:rsidR="00E2337F" w:rsidRPr="003B1178" w:rsidRDefault="00E21D7A" w:rsidP="00B1123B">
            <w:pPr>
              <w:spacing w:line="168"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49%</w:t>
            </w:r>
          </w:p>
        </w:tc>
        <w:tc>
          <w:tcPr>
            <w:tcW w:w="1533" w:type="dxa"/>
            <w:tcBorders>
              <w:top w:val="none" w:sz="0" w:space="0" w:color="auto"/>
              <w:bottom w:val="none" w:sz="0" w:space="0" w:color="auto"/>
            </w:tcBorders>
            <w:shd w:val="clear" w:color="auto" w:fill="FFFFFF" w:themeFill="background1"/>
          </w:tcPr>
          <w:p w14:paraId="1D656C8F" w14:textId="77777777" w:rsidR="00E2337F" w:rsidRPr="003B1178" w:rsidRDefault="00E21D7A" w:rsidP="00244AF0">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sz w:val="24"/>
                <w:szCs w:val="24"/>
              </w:rPr>
            </w:pPr>
            <w:r w:rsidRPr="003B1178">
              <w:rPr>
                <w:rFonts w:ascii="Browallia New" w:hAnsi="Browallia New" w:cs="Browallia New"/>
                <w:b/>
                <w:sz w:val="24"/>
                <w:szCs w:val="24"/>
              </w:rPr>
              <w:t>27%</w:t>
            </w:r>
          </w:p>
        </w:tc>
      </w:tr>
    </w:tbl>
    <w:p w14:paraId="12146145" w14:textId="77777777" w:rsidR="001D7891" w:rsidRDefault="001D7891" w:rsidP="001D7891">
      <w:pPr>
        <w:spacing w:line="240" w:lineRule="auto"/>
        <w:jc w:val="both"/>
        <w:rPr>
          <w:rFonts w:ascii="Browallia New" w:hAnsi="Browallia New" w:cs="Browallia New"/>
        </w:rPr>
      </w:pPr>
    </w:p>
    <w:p w14:paraId="32E45BC6" w14:textId="77777777" w:rsidR="00416FCF" w:rsidRPr="0054728D" w:rsidRDefault="00536042" w:rsidP="0054728D">
      <w:pPr>
        <w:spacing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47328" behindDoc="0" locked="0" layoutInCell="0" allowOverlap="1" wp14:anchorId="1048889F" wp14:editId="49AE0365">
                <wp:simplePos x="0" y="0"/>
                <wp:positionH relativeFrom="margin">
                  <wp:posOffset>3931746</wp:posOffset>
                </wp:positionH>
                <wp:positionV relativeFrom="margin">
                  <wp:posOffset>5419147</wp:posOffset>
                </wp:positionV>
                <wp:extent cx="2030730" cy="678815"/>
                <wp:effectExtent l="19050" t="19050" r="26670" b="26035"/>
                <wp:wrapSquare wrapText="bothSides"/>
                <wp:docPr id="19"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678815"/>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1F51C027" w14:textId="77777777" w:rsidR="00206200" w:rsidRPr="003B1178" w:rsidRDefault="00206200" w:rsidP="008172DB">
                            <w:pPr>
                              <w:shd w:val="clear" w:color="auto" w:fill="C48B01" w:themeFill="accent2" w:themeFillShade="BF"/>
                              <w:spacing w:line="192"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The adoption of ERM is much further along for large organizations, public companies, and financial institutions.</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48889F" id="AutoShape 111" o:spid="_x0000_s1031" style="position:absolute;left:0;text-align:left;margin-left:309.6pt;margin-top:426.7pt;width:159.9pt;height:53.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" o:allowincell="f" fillcolor="#c48b01 [2405]" strokecolor="#1a6da6" strokeweight="3pt">
                <v:textbox inset="3.6pt,,3.6pt">
                  <w:txbxContent>
                    <w:p w14:paraId="1F51C027" w14:textId="77777777" w:rsidR="00206200" w:rsidRPr="003B1178" w:rsidRDefault="00206200" w:rsidP="008172DB">
                      <w:pPr>
                        <w:shd w:val="clear" w:color="auto" w:fill="C48B01" w:themeFill="accent2" w:themeFillShade="BF"/>
                        <w:spacing w:line="192"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The adoption of ERM is much further along for large organizations, public companies, and financial institutions.</w:t>
                      </w:r>
                    </w:p>
                  </w:txbxContent>
                </v:textbox>
                <w10:wrap type="square" anchorx="margin" anchory="margin"/>
              </v:roundrect>
            </w:pict>
          </mc:Fallback>
        </mc:AlternateContent>
      </w:r>
      <w:r w:rsidR="00416FCF" w:rsidRPr="0054728D">
        <w:rPr>
          <w:rFonts w:ascii="Browallia New" w:hAnsi="Browallia New" w:cs="Browallia New"/>
          <w:sz w:val="28"/>
          <w:szCs w:val="28"/>
        </w:rPr>
        <w:t xml:space="preserve">The chart on the next page shows that larger organizations, public companies, and financial services organizations are more likely to have complete ERM processes in place and that has been the case for the past few years. The variation in results highlights that the level of ERM maturity can differ greatly across organizations of various sizes and types. While variations exist, the results also reveal that there are a substantial number of firms in all categories that have no ERM processes or are just beginning to investigate the need for those processes.  </w:t>
      </w:r>
      <w:r w:rsidR="00416FCF" w:rsidRPr="0054728D">
        <w:rPr>
          <w:rFonts w:ascii="Browallia New" w:hAnsi="Browallia New" w:cs="Browallia New"/>
          <w:sz w:val="28"/>
          <w:szCs w:val="28"/>
        </w:rPr>
        <w:br w:type="page"/>
      </w:r>
    </w:p>
    <w:p w14:paraId="7DA18E3F" w14:textId="77777777" w:rsidR="00272623" w:rsidRPr="00F46D57" w:rsidRDefault="00272623" w:rsidP="00272623">
      <w:pPr>
        <w:jc w:val="center"/>
        <w:rPr>
          <w:rFonts w:ascii="Browallia New" w:hAnsi="Browallia New" w:cs="Browallia New"/>
        </w:rPr>
      </w:pPr>
      <w:r w:rsidRPr="001D7891">
        <w:rPr>
          <w:rFonts w:ascii="Browallia New" w:hAnsi="Browallia New" w:cs="Browallia New"/>
          <w:noProof/>
          <w:shd w:val="clear" w:color="auto" w:fill="6A538B"/>
        </w:rPr>
        <w:lastRenderedPageBreak/>
        <w:drawing>
          <wp:inline distT="0" distB="0" distL="0" distR="0" wp14:anchorId="33C5060B" wp14:editId="05209AC3">
            <wp:extent cx="5486400" cy="3200400"/>
            <wp:effectExtent l="0" t="0" r="0" b="0"/>
            <wp:docPr id="131" name="Chart 131" descr="Bar chart of organizations with complete ERM process in place from 2014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DB067E" w14:textId="77777777" w:rsidR="00815E7B" w:rsidRDefault="00815E7B">
      <w:pPr>
        <w:rPr>
          <w:rFonts w:ascii="Browallia New" w:hAnsi="Browallia New" w:cs="Browallia New"/>
          <w:color w:val="3891A7" w:themeColor="accent1"/>
          <w:sz w:val="36"/>
          <w:szCs w:val="36"/>
        </w:rPr>
      </w:pPr>
      <w:r>
        <w:rPr>
          <w:rFonts w:ascii="Browallia New" w:hAnsi="Browallia New" w:cs="Browallia New"/>
          <w:color w:val="3891A7" w:themeColor="accent1"/>
          <w:sz w:val="36"/>
          <w:szCs w:val="36"/>
        </w:rPr>
        <w:br w:type="page"/>
      </w:r>
    </w:p>
    <w:p w14:paraId="2294D024" w14:textId="77777777" w:rsidR="00815E7B" w:rsidRPr="0058030B" w:rsidRDefault="00815E7B" w:rsidP="00181B6D">
      <w:pPr>
        <w:pStyle w:val="Heading1"/>
      </w:pPr>
      <w:r>
        <w:lastRenderedPageBreak/>
        <w:t xml:space="preserve">STRENGTHENING </w:t>
      </w:r>
      <w:r w:rsidR="006211B9">
        <w:t>RISK MANAGEMENT INFRASTRUCTURE</w:t>
      </w:r>
    </w:p>
    <w:p w14:paraId="4201A9AE" w14:textId="77777777" w:rsidR="00815E7B" w:rsidRPr="00775C92" w:rsidRDefault="00815E7B" w:rsidP="00815E7B">
      <w:pPr>
        <w:pStyle w:val="ListParagraph"/>
        <w:numPr>
          <w:ilvl w:val="0"/>
          <w:numId w:val="38"/>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 xml:space="preserve">Higher percentages of organizations are appointing individuals to lead the organization’s risk management process.  </w:t>
      </w:r>
    </w:p>
    <w:p w14:paraId="54D73F51" w14:textId="77777777" w:rsidR="00815E7B" w:rsidRPr="00775C92" w:rsidRDefault="00815E7B" w:rsidP="00815E7B">
      <w:pPr>
        <w:pStyle w:val="ListParagraph"/>
        <w:numPr>
          <w:ilvl w:val="0"/>
          <w:numId w:val="38"/>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 xml:space="preserve">Even higher percentages of organizations are creating management-level risk committees.  </w:t>
      </w:r>
    </w:p>
    <w:p w14:paraId="60A4EEB9" w14:textId="77777777" w:rsidR="00815E7B" w:rsidRPr="00775C92" w:rsidRDefault="00815E7B" w:rsidP="00815E7B">
      <w:pPr>
        <w:pStyle w:val="ListParagraph"/>
        <w:numPr>
          <w:ilvl w:val="0"/>
          <w:numId w:val="38"/>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 xml:space="preserve">Board of directors </w:t>
      </w:r>
      <w:proofErr w:type="gramStart"/>
      <w:r w:rsidRPr="00775C92">
        <w:rPr>
          <w:rFonts w:ascii="Browallia New" w:hAnsi="Browallia New" w:cs="Browallia New"/>
          <w:b/>
          <w:i/>
          <w:color w:val="0070C0"/>
          <w:sz w:val="28"/>
          <w:szCs w:val="28"/>
        </w:rPr>
        <w:t>continue</w:t>
      </w:r>
      <w:proofErr w:type="gramEnd"/>
      <w:r w:rsidRPr="00775C92">
        <w:rPr>
          <w:rFonts w:ascii="Browallia New" w:hAnsi="Browallia New" w:cs="Browallia New"/>
          <w:b/>
          <w:i/>
          <w:color w:val="0070C0"/>
          <w:sz w:val="28"/>
          <w:szCs w:val="28"/>
        </w:rPr>
        <w:t xml:space="preserve"> to delegate risk oversight to a board committee, which is most often the audit committee.</w:t>
      </w:r>
    </w:p>
    <w:p w14:paraId="3267296B" w14:textId="77777777" w:rsidR="00815E7B" w:rsidRPr="00815E7B" w:rsidRDefault="00536042" w:rsidP="00815E7B">
      <w:pPr>
        <w:spacing w:line="204" w:lineRule="auto"/>
        <w:jc w:val="both"/>
        <w:rPr>
          <w:rFonts w:ascii="Browallia New" w:hAnsi="Browallia New" w:cs="Browallia New"/>
          <w:sz w:val="28"/>
          <w:szCs w:val="28"/>
        </w:rPr>
      </w:pPr>
      <w:r>
        <w:rPr>
          <w:rFonts w:ascii="Browallia New" w:hAnsi="Browallia New" w:cs="Browallia New"/>
          <w:b/>
          <w:noProof/>
          <w:sz w:val="28"/>
          <w:szCs w:val="28"/>
        </w:rPr>
        <mc:AlternateContent>
          <mc:Choice Requires="wps">
            <w:drawing>
              <wp:anchor distT="0" distB="0" distL="114300" distR="114300" simplePos="0" relativeHeight="251758592" behindDoc="0" locked="0" layoutInCell="0" allowOverlap="1" wp14:anchorId="2BF1D656" wp14:editId="77B878C1">
                <wp:simplePos x="0" y="0"/>
                <wp:positionH relativeFrom="margin">
                  <wp:posOffset>3745576</wp:posOffset>
                </wp:positionH>
                <wp:positionV relativeFrom="margin">
                  <wp:posOffset>2035175</wp:posOffset>
                </wp:positionV>
                <wp:extent cx="2178685" cy="1010920"/>
                <wp:effectExtent l="19050" t="19050" r="12065" b="17780"/>
                <wp:wrapSquare wrapText="bothSides"/>
                <wp:docPr id="12"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685" cy="101092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654B3567" w14:textId="77777777" w:rsidR="00206200" w:rsidRPr="003B1178" w:rsidRDefault="00206200" w:rsidP="00775C92">
                            <w:pPr>
                              <w:spacing w:line="192"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Large organizations, public companies, and financial services entities are similarly likely to appoint individuals to serve as Chief Risk Officer (CRO) or equivalent than other organizations.</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F1D656" id="AutoShape 109" o:spid="_x0000_s1032" style="position:absolute;left:0;text-align:left;margin-left:294.95pt;margin-top:160.25pt;width:171.55pt;height:79.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" o:allowincell="f" fillcolor="#c48b01 [2405]" strokecolor="#1a6da6" strokeweight="3pt">
                <v:textbox inset="3.6pt,,3.6pt">
                  <w:txbxContent>
                    <w:p w14:paraId="654B3567" w14:textId="77777777" w:rsidR="00206200" w:rsidRPr="003B1178" w:rsidRDefault="00206200" w:rsidP="00775C92">
                      <w:pPr>
                        <w:spacing w:line="192"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Large organizations, public companies, and financial services entities are similarly likely to appoint individuals to serve as Chief Risk Officer (CRO) or equivalent than other organizations.</w:t>
                      </w:r>
                    </w:p>
                  </w:txbxContent>
                </v:textbox>
                <w10:wrap type="square" anchorx="margin" anchory="margin"/>
              </v:roundrect>
            </w:pict>
          </mc:Fallback>
        </mc:AlternateContent>
      </w:r>
      <w:r w:rsidR="00815E7B" w:rsidRPr="00815E7B">
        <w:rPr>
          <w:rFonts w:ascii="Browallia New" w:hAnsi="Browallia New" w:cs="Browallia New"/>
          <w:sz w:val="28"/>
          <w:szCs w:val="28"/>
        </w:rPr>
        <w:t xml:space="preserve">Part of the challenge of ensuring that the risk management process is effectively integrated with strategy may be linked to the extent of executive leadership of the risk function. If risk management leaders are not at a level that is engaged in strategic planning, there may be a strategy and risk disconnect.  </w:t>
      </w:r>
    </w:p>
    <w:p w14:paraId="3AACAB2A" w14:textId="77777777" w:rsidR="00815E7B" w:rsidRPr="00815E7B" w:rsidRDefault="00815E7B" w:rsidP="00815E7B">
      <w:pPr>
        <w:spacing w:line="204" w:lineRule="auto"/>
        <w:jc w:val="both"/>
        <w:rPr>
          <w:rFonts w:ascii="Browallia New" w:hAnsi="Browallia New" w:cs="Browallia New"/>
          <w:sz w:val="28"/>
          <w:szCs w:val="28"/>
        </w:rPr>
      </w:pPr>
      <w:r w:rsidRPr="00815E7B">
        <w:rPr>
          <w:rFonts w:ascii="Browallia New" w:hAnsi="Browallia New" w:cs="Browallia New"/>
          <w:sz w:val="28"/>
          <w:szCs w:val="28"/>
        </w:rPr>
        <w:t xml:space="preserve">The percentage of organizations formally designating an individual to serve as the Chief Risk Officer (CRO) or equivalent senior risk executive continues to increase, with almost half of the organizations surveyed now appointing individuals to lead the risk management role. Even over the past two years, the percentage of organizations with CROs or equivalent has grown from 32% to 48%, as illustrated by the bar chart below. </w:t>
      </w:r>
    </w:p>
    <w:p w14:paraId="0D2F3411" w14:textId="77777777" w:rsidR="00815E7B" w:rsidRPr="00F46D57" w:rsidRDefault="00815E7B" w:rsidP="00815E7B">
      <w:pPr>
        <w:jc w:val="both"/>
        <w:rPr>
          <w:rFonts w:ascii="Browallia New" w:hAnsi="Browallia New" w:cs="Browallia New"/>
        </w:rPr>
      </w:pPr>
      <w:r w:rsidRPr="00F46D57">
        <w:rPr>
          <w:rFonts w:ascii="Browallia New" w:hAnsi="Browallia New" w:cs="Browallia New"/>
          <w:noProof/>
        </w:rPr>
        <w:drawing>
          <wp:inline distT="0" distB="0" distL="0" distR="0" wp14:anchorId="7AFD8A4E" wp14:editId="7DCA07B2">
            <wp:extent cx="5845629" cy="2686050"/>
            <wp:effectExtent l="0" t="0" r="3175" b="0"/>
            <wp:docPr id="16" name="Chart 7" descr="Bar chart of organizations designating individual to serve as CRO or equivalent from 2009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ED206D" w14:textId="77777777" w:rsidR="00556EBB" w:rsidRDefault="00815E7B" w:rsidP="00815E7B">
      <w:pPr>
        <w:spacing w:line="204" w:lineRule="auto"/>
        <w:jc w:val="both"/>
        <w:rPr>
          <w:rFonts w:ascii="Browallia New" w:hAnsi="Browallia New" w:cs="Browallia New"/>
          <w:sz w:val="28"/>
          <w:szCs w:val="28"/>
        </w:rPr>
      </w:pPr>
      <w:r w:rsidRPr="00815E7B">
        <w:rPr>
          <w:rFonts w:ascii="Browallia New" w:hAnsi="Browallia New" w:cs="Browallia New"/>
          <w:sz w:val="28"/>
          <w:szCs w:val="28"/>
        </w:rPr>
        <w:t>Large organizations, public companies, and financial services organizations are even more likely to have designated an individual to serve as CRO or equivalent, with more than two-thirds of those organizations doing so, as shown in the table</w:t>
      </w:r>
      <w:r w:rsidR="00556EBB">
        <w:rPr>
          <w:rFonts w:ascii="Browallia New" w:hAnsi="Browallia New" w:cs="Browallia New"/>
          <w:sz w:val="28"/>
          <w:szCs w:val="28"/>
        </w:rPr>
        <w:t xml:space="preserve"> on the next page</w:t>
      </w:r>
      <w:r w:rsidRPr="00815E7B">
        <w:rPr>
          <w:rFonts w:ascii="Browallia New" w:hAnsi="Browallia New" w:cs="Browallia New"/>
          <w:sz w:val="28"/>
          <w:szCs w:val="28"/>
        </w:rPr>
        <w:t xml:space="preserve">. </w:t>
      </w:r>
    </w:p>
    <w:p w14:paraId="3201F4E7" w14:textId="77777777" w:rsidR="00556EBB" w:rsidRDefault="00556EBB">
      <w:pPr>
        <w:rPr>
          <w:rFonts w:ascii="Browallia New" w:hAnsi="Browallia New" w:cs="Browallia New"/>
          <w:sz w:val="28"/>
          <w:szCs w:val="28"/>
        </w:rPr>
      </w:pPr>
      <w:r>
        <w:rPr>
          <w:rFonts w:ascii="Browallia New" w:hAnsi="Browallia New" w:cs="Browallia New"/>
          <w:sz w:val="28"/>
          <w:szCs w:val="28"/>
        </w:rPr>
        <w:br w:type="page"/>
      </w:r>
    </w:p>
    <w:p w14:paraId="2104FE95" w14:textId="463AEA1F" w:rsidR="00181B6D" w:rsidRPr="00181B6D" w:rsidRDefault="00181B6D">
      <w:pPr>
        <w:rPr>
          <w:rStyle w:val="IntenseReference"/>
          <w:color w:val="1C4853" w:themeColor="accent1" w:themeShade="80"/>
        </w:rPr>
      </w:pPr>
      <w:r w:rsidRPr="00181B6D">
        <w:rPr>
          <w:rStyle w:val="IntenseReference"/>
          <w:color w:val="1C4853" w:themeColor="accent1" w:themeShade="80"/>
        </w:rPr>
        <w:lastRenderedPageBreak/>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990"/>
        <w:gridCol w:w="1620"/>
        <w:gridCol w:w="1440"/>
        <w:gridCol w:w="1365"/>
        <w:gridCol w:w="1533"/>
      </w:tblGrid>
      <w:tr w:rsidR="00815E7B" w:rsidRPr="00F46D57" w14:paraId="542C65DA" w14:textId="77777777" w:rsidTr="00181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BFBFBF" w:themeFill="background1" w:themeFillShade="BF"/>
          </w:tcPr>
          <w:p w14:paraId="5339ECE9" w14:textId="77777777" w:rsidR="00815E7B" w:rsidRPr="00ED6C19" w:rsidRDefault="00815E7B" w:rsidP="00E12ABA">
            <w:pPr>
              <w:spacing w:line="192" w:lineRule="auto"/>
              <w:rPr>
                <w:rFonts w:ascii="Browallia New" w:hAnsi="Browallia New" w:cs="Browallia New"/>
                <w:color w:val="C48B01" w:themeColor="accent2" w:themeShade="BF"/>
              </w:rPr>
            </w:pPr>
          </w:p>
        </w:tc>
        <w:tc>
          <w:tcPr>
            <w:tcW w:w="990" w:type="dxa"/>
            <w:shd w:val="clear" w:color="auto" w:fill="BFBFBF" w:themeFill="background1" w:themeFillShade="BF"/>
          </w:tcPr>
          <w:p w14:paraId="70429769"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5B77F25"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r w:rsidRPr="003B1178">
              <w:rPr>
                <w:rFonts w:ascii="Browallia New" w:hAnsi="Browallia New" w:cs="Browallia New"/>
                <w:color w:val="auto"/>
                <w:u w:val="single"/>
              </w:rPr>
              <w:t>Sample</w:t>
            </w:r>
          </w:p>
        </w:tc>
        <w:tc>
          <w:tcPr>
            <w:tcW w:w="1620" w:type="dxa"/>
            <w:shd w:val="clear" w:color="auto" w:fill="BFBFBF" w:themeFill="background1" w:themeFillShade="BF"/>
          </w:tcPr>
          <w:p w14:paraId="2B958CC7"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r w:rsidRPr="003B1178">
              <w:rPr>
                <w:rFonts w:ascii="Browallia New" w:hAnsi="Browallia New" w:cs="Browallia New"/>
                <w:color w:val="auto"/>
                <w:u w:val="single"/>
              </w:rPr>
              <w:t>(Revenues &gt;$1B)</w:t>
            </w:r>
          </w:p>
        </w:tc>
        <w:tc>
          <w:tcPr>
            <w:tcW w:w="1440" w:type="dxa"/>
            <w:shd w:val="clear" w:color="auto" w:fill="BFBFBF" w:themeFill="background1" w:themeFillShade="BF"/>
          </w:tcPr>
          <w:p w14:paraId="23467C12"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21286D8"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365" w:type="dxa"/>
            <w:shd w:val="clear" w:color="auto" w:fill="BFBFBF" w:themeFill="background1" w:themeFillShade="BF"/>
          </w:tcPr>
          <w:p w14:paraId="7BCBF12B"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59F0039E"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67C7AE1F"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33" w:type="dxa"/>
            <w:shd w:val="clear" w:color="auto" w:fill="BFBFBF" w:themeFill="background1" w:themeFillShade="BF"/>
          </w:tcPr>
          <w:p w14:paraId="726FC06A"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4358497" w14:textId="77777777" w:rsidR="00815E7B" w:rsidRPr="003B1178" w:rsidRDefault="00815E7B" w:rsidP="00E12ABA">
            <w:pPr>
              <w:spacing w:line="180"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815E7B" w:rsidRPr="00F46D57" w14:paraId="5E797666"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tcBorders>
            <w:shd w:val="clear" w:color="auto" w:fill="FFFFFF" w:themeFill="background1"/>
          </w:tcPr>
          <w:p w14:paraId="464C4399" w14:textId="77777777" w:rsidR="00815E7B" w:rsidRPr="003B1178" w:rsidRDefault="00815E7B" w:rsidP="00E12ABA">
            <w:pPr>
              <w:spacing w:line="192" w:lineRule="auto"/>
              <w:rPr>
                <w:rFonts w:ascii="Browallia New" w:hAnsi="Browallia New" w:cs="Browallia New"/>
              </w:rPr>
            </w:pPr>
          </w:p>
          <w:p w14:paraId="76CA1188" w14:textId="77777777" w:rsidR="00815E7B" w:rsidRPr="003B1178" w:rsidRDefault="00815E7B" w:rsidP="00E12ABA">
            <w:pPr>
              <w:spacing w:line="192" w:lineRule="auto"/>
              <w:rPr>
                <w:rFonts w:ascii="Browallia New" w:hAnsi="Browallia New" w:cs="Browallia New"/>
              </w:rPr>
            </w:pPr>
            <w:r w:rsidRPr="003B1178">
              <w:rPr>
                <w:rFonts w:ascii="Browallia New" w:hAnsi="Browallia New" w:cs="Browallia New"/>
              </w:rPr>
              <w:t xml:space="preserve">Percentage designating </w:t>
            </w:r>
            <w:proofErr w:type="gramStart"/>
            <w:r w:rsidRPr="003B1178">
              <w:rPr>
                <w:rFonts w:ascii="Browallia New" w:hAnsi="Browallia New" w:cs="Browallia New"/>
              </w:rPr>
              <w:t>individual</w:t>
            </w:r>
            <w:proofErr w:type="gramEnd"/>
            <w:r w:rsidRPr="003B1178">
              <w:rPr>
                <w:rFonts w:ascii="Browallia New" w:hAnsi="Browallia New" w:cs="Browallia New"/>
              </w:rPr>
              <w:t xml:space="preserve"> to serve as CRO or equivalent</w:t>
            </w:r>
          </w:p>
        </w:tc>
        <w:tc>
          <w:tcPr>
            <w:tcW w:w="990" w:type="dxa"/>
            <w:tcBorders>
              <w:top w:val="none" w:sz="0" w:space="0" w:color="auto"/>
              <w:bottom w:val="none" w:sz="0" w:space="0" w:color="auto"/>
            </w:tcBorders>
            <w:shd w:val="clear" w:color="auto" w:fill="FFFFFF" w:themeFill="background1"/>
          </w:tcPr>
          <w:p w14:paraId="410F7D27"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0A4106A1"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48%</w:t>
            </w:r>
          </w:p>
        </w:tc>
        <w:tc>
          <w:tcPr>
            <w:tcW w:w="1620" w:type="dxa"/>
            <w:tcBorders>
              <w:top w:val="none" w:sz="0" w:space="0" w:color="auto"/>
              <w:bottom w:val="none" w:sz="0" w:space="0" w:color="auto"/>
            </w:tcBorders>
            <w:shd w:val="clear" w:color="auto" w:fill="FFFFFF" w:themeFill="background1"/>
          </w:tcPr>
          <w:p w14:paraId="7BA81092"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990B92E"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67%</w:t>
            </w:r>
          </w:p>
        </w:tc>
        <w:tc>
          <w:tcPr>
            <w:tcW w:w="1440" w:type="dxa"/>
            <w:tcBorders>
              <w:top w:val="none" w:sz="0" w:space="0" w:color="auto"/>
              <w:bottom w:val="none" w:sz="0" w:space="0" w:color="auto"/>
            </w:tcBorders>
            <w:shd w:val="clear" w:color="auto" w:fill="FFFFFF" w:themeFill="background1"/>
          </w:tcPr>
          <w:p w14:paraId="401D1B90"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37B734E9"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63%</w:t>
            </w:r>
          </w:p>
        </w:tc>
        <w:tc>
          <w:tcPr>
            <w:tcW w:w="1365" w:type="dxa"/>
            <w:tcBorders>
              <w:top w:val="none" w:sz="0" w:space="0" w:color="auto"/>
              <w:bottom w:val="none" w:sz="0" w:space="0" w:color="auto"/>
            </w:tcBorders>
            <w:shd w:val="clear" w:color="auto" w:fill="FFFFFF" w:themeFill="background1"/>
          </w:tcPr>
          <w:p w14:paraId="0A75A112"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DB0DB85"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68%</w:t>
            </w:r>
          </w:p>
        </w:tc>
        <w:tc>
          <w:tcPr>
            <w:tcW w:w="1533" w:type="dxa"/>
            <w:tcBorders>
              <w:top w:val="none" w:sz="0" w:space="0" w:color="auto"/>
              <w:bottom w:val="none" w:sz="0" w:space="0" w:color="auto"/>
              <w:right w:val="none" w:sz="0" w:space="0" w:color="auto"/>
            </w:tcBorders>
            <w:shd w:val="clear" w:color="auto" w:fill="FFFFFF" w:themeFill="background1"/>
          </w:tcPr>
          <w:p w14:paraId="64E26F0E"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DCB61F2" w14:textId="77777777" w:rsidR="00815E7B" w:rsidRPr="003B1178" w:rsidRDefault="00815E7B" w:rsidP="00E12AB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46%</w:t>
            </w:r>
          </w:p>
        </w:tc>
      </w:tr>
    </w:tbl>
    <w:p w14:paraId="74C02010" w14:textId="77777777" w:rsidR="00815E7B" w:rsidRPr="00815E7B" w:rsidRDefault="00815E7B" w:rsidP="0061467A">
      <w:pPr>
        <w:spacing w:before="240" w:line="204" w:lineRule="auto"/>
        <w:jc w:val="both"/>
        <w:rPr>
          <w:rFonts w:ascii="Browallia New" w:hAnsi="Browallia New" w:cs="Browallia New"/>
          <w:sz w:val="28"/>
          <w:szCs w:val="28"/>
        </w:rPr>
      </w:pPr>
      <w:r w:rsidRPr="00815E7B">
        <w:rPr>
          <w:rFonts w:ascii="Browallia New" w:hAnsi="Browallia New" w:cs="Browallia New"/>
          <w:sz w:val="28"/>
          <w:szCs w:val="28"/>
        </w:rPr>
        <w:t xml:space="preserve">The increase in the percentage of organizations designating an individual to serve as CRO or equivalent occurred across all types of organizations as shown in the bar graph below. Perhaps </w:t>
      </w:r>
      <w:r w:rsidR="002528FB">
        <w:rPr>
          <w:rFonts w:ascii="Browallia New" w:hAnsi="Browallia New" w:cs="Browallia New"/>
          <w:sz w:val="28"/>
          <w:szCs w:val="28"/>
        </w:rPr>
        <w:t xml:space="preserve">this is in response to </w:t>
      </w:r>
      <w:r w:rsidRPr="00815E7B">
        <w:rPr>
          <w:rFonts w:ascii="Browallia New" w:hAnsi="Browallia New" w:cs="Browallia New"/>
          <w:sz w:val="28"/>
          <w:szCs w:val="28"/>
        </w:rPr>
        <w:t xml:space="preserve">the growing reality that the volume and complexities of risks are not getting easier to manage and require more focused risk management efforts. More organizations are concluding that leadership is needed to help management design and implement more robust risk management processes.  </w:t>
      </w:r>
    </w:p>
    <w:p w14:paraId="099AED11" w14:textId="77777777" w:rsidR="00815E7B" w:rsidRPr="00F46D57" w:rsidRDefault="00815E7B" w:rsidP="00E24AB1">
      <w:pPr>
        <w:jc w:val="center"/>
        <w:rPr>
          <w:rFonts w:ascii="Browallia New" w:hAnsi="Browallia New" w:cs="Browallia New"/>
        </w:rPr>
      </w:pPr>
      <w:r w:rsidRPr="00F46D57">
        <w:rPr>
          <w:rFonts w:ascii="Browallia New" w:hAnsi="Browallia New" w:cs="Browallia New"/>
          <w:noProof/>
        </w:rPr>
        <w:drawing>
          <wp:inline distT="0" distB="0" distL="0" distR="0" wp14:anchorId="550434AB" wp14:editId="1B8733A9">
            <wp:extent cx="5486400" cy="3200400"/>
            <wp:effectExtent l="0" t="0" r="0" b="0"/>
            <wp:docPr id="134" name="Chart 134" descr="Bar chart of organizations designating individual as CRO or equivalent from 2014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856458" w14:textId="77777777" w:rsidR="00815E7B" w:rsidRPr="00815E7B" w:rsidRDefault="00815E7B" w:rsidP="00815E7B">
      <w:pPr>
        <w:spacing w:line="204" w:lineRule="auto"/>
        <w:jc w:val="both"/>
        <w:rPr>
          <w:rFonts w:ascii="Browallia New" w:hAnsi="Browallia New" w:cs="Browallia New"/>
          <w:sz w:val="28"/>
          <w:szCs w:val="28"/>
        </w:rPr>
      </w:pPr>
      <w:r w:rsidRPr="00815E7B">
        <w:rPr>
          <w:rFonts w:ascii="Browallia New" w:hAnsi="Browallia New" w:cs="Browallia New"/>
          <w:sz w:val="28"/>
          <w:szCs w:val="28"/>
        </w:rPr>
        <w:t xml:space="preserve">For firms with a chief risk officer position, the individual to whom the CRO most often reports </w:t>
      </w:r>
      <w:proofErr w:type="gramStart"/>
      <w:r w:rsidRPr="00815E7B">
        <w:rPr>
          <w:rFonts w:ascii="Browallia New" w:hAnsi="Browallia New" w:cs="Browallia New"/>
          <w:sz w:val="28"/>
          <w:szCs w:val="28"/>
        </w:rPr>
        <w:t>is</w:t>
      </w:r>
      <w:proofErr w:type="gramEnd"/>
      <w:r w:rsidRPr="00815E7B">
        <w:rPr>
          <w:rFonts w:ascii="Browallia New" w:hAnsi="Browallia New" w:cs="Browallia New"/>
          <w:sz w:val="28"/>
          <w:szCs w:val="28"/>
        </w:rPr>
        <w:t xml:space="preserve"> the CEO or President (42% of the instances for the full sample)</w:t>
      </w:r>
      <w:r w:rsidR="00E500F4">
        <w:rPr>
          <w:rFonts w:ascii="Browallia New" w:hAnsi="Browallia New" w:cs="Browallia New"/>
          <w:sz w:val="28"/>
          <w:szCs w:val="28"/>
        </w:rPr>
        <w:t xml:space="preserve"> followed by 20% that directly report to the CFO.</w:t>
      </w:r>
      <w:r w:rsidRPr="00815E7B">
        <w:rPr>
          <w:rFonts w:ascii="Browallia New" w:hAnsi="Browallia New" w:cs="Browallia New"/>
          <w:sz w:val="28"/>
          <w:szCs w:val="28"/>
        </w:rPr>
        <w:t xml:space="preserve"> Interestingly,</w:t>
      </w:r>
      <w:r w:rsidR="00E500F4">
        <w:rPr>
          <w:rFonts w:ascii="Browallia New" w:hAnsi="Browallia New" w:cs="Browallia New"/>
          <w:sz w:val="28"/>
          <w:szCs w:val="28"/>
        </w:rPr>
        <w:t xml:space="preserve"> in the prior year, 51% reported to the CEO or President while 15% reported to the CFO. Thus, there appears to be some realignment in reporting structures with more CROs reporting to the CFO in the current year than in prior years. F</w:t>
      </w:r>
      <w:r w:rsidRPr="00815E7B">
        <w:rPr>
          <w:rFonts w:ascii="Browallia New" w:hAnsi="Browallia New" w:cs="Browallia New"/>
          <w:sz w:val="28"/>
          <w:szCs w:val="28"/>
        </w:rPr>
        <w:t>or 23% of the organizations with a CRO position, the individual reports formally to the board of directors or its audit committee</w:t>
      </w:r>
      <w:r w:rsidR="00C97F2B">
        <w:rPr>
          <w:rFonts w:ascii="Browallia New" w:hAnsi="Browallia New" w:cs="Browallia New"/>
          <w:sz w:val="28"/>
          <w:szCs w:val="28"/>
        </w:rPr>
        <w:t xml:space="preserve">. Last year 21% </w:t>
      </w:r>
      <w:proofErr w:type="gramStart"/>
      <w:r w:rsidR="00C97F2B">
        <w:rPr>
          <w:rFonts w:ascii="Browallia New" w:hAnsi="Browallia New" w:cs="Browallia New"/>
          <w:sz w:val="28"/>
          <w:szCs w:val="28"/>
        </w:rPr>
        <w:t>reported</w:t>
      </w:r>
      <w:proofErr w:type="gramEnd"/>
      <w:r w:rsidR="00C97F2B">
        <w:rPr>
          <w:rFonts w:ascii="Browallia New" w:hAnsi="Browallia New" w:cs="Browallia New"/>
          <w:sz w:val="28"/>
          <w:szCs w:val="28"/>
        </w:rPr>
        <w:t xml:space="preserve"> to the board or one of its committees</w:t>
      </w:r>
      <w:r w:rsidRPr="00815E7B">
        <w:rPr>
          <w:rFonts w:ascii="Browallia New" w:hAnsi="Browallia New" w:cs="Browallia New"/>
          <w:sz w:val="28"/>
          <w:szCs w:val="28"/>
        </w:rPr>
        <w:t>.</w:t>
      </w:r>
    </w:p>
    <w:p w14:paraId="73673C2A" w14:textId="77777777" w:rsidR="00815E7B" w:rsidRPr="00F46D57" w:rsidRDefault="00815E7B" w:rsidP="00815E7B">
      <w:pPr>
        <w:rPr>
          <w:rFonts w:ascii="Browallia New" w:hAnsi="Browallia New" w:cs="Browallia New"/>
        </w:rPr>
      </w:pPr>
      <w:r w:rsidRPr="00F46D57">
        <w:rPr>
          <w:rFonts w:ascii="Browallia New" w:hAnsi="Browallia New" w:cs="Browallia New"/>
        </w:rPr>
        <w:br w:type="page"/>
      </w:r>
    </w:p>
    <w:p w14:paraId="5A7BF9F0" w14:textId="77777777" w:rsidR="00815E7B" w:rsidRDefault="00815E7B"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lastRenderedPageBreak/>
        <w:t>When you examine the largest organizations, public companies, and financial services entities separately, there are some notable differences as shown in the table below. Direct reporting to the CEO or President is most common</w:t>
      </w:r>
      <w:r w:rsidR="00C97F2B">
        <w:rPr>
          <w:rFonts w:ascii="Browallia New" w:hAnsi="Browallia New" w:cs="Browallia New"/>
          <w:sz w:val="28"/>
          <w:szCs w:val="28"/>
        </w:rPr>
        <w:t xml:space="preserve">; however, </w:t>
      </w:r>
      <w:proofErr w:type="gramStart"/>
      <w:r w:rsidR="00C97F2B">
        <w:rPr>
          <w:rFonts w:ascii="Browallia New" w:hAnsi="Browallia New" w:cs="Browallia New"/>
          <w:sz w:val="28"/>
          <w:szCs w:val="28"/>
        </w:rPr>
        <w:t>similar to</w:t>
      </w:r>
      <w:proofErr w:type="gramEnd"/>
      <w:r w:rsidR="00C97F2B">
        <w:rPr>
          <w:rFonts w:ascii="Browallia New" w:hAnsi="Browallia New" w:cs="Browallia New"/>
          <w:sz w:val="28"/>
          <w:szCs w:val="28"/>
        </w:rPr>
        <w:t xml:space="preserve"> the overall sample, we noticed a reduction from the prior year in percentages reporting to the CEO</w:t>
      </w:r>
      <w:r w:rsidR="0061467A">
        <w:rPr>
          <w:rFonts w:ascii="Browallia New" w:hAnsi="Browallia New" w:cs="Browallia New"/>
          <w:sz w:val="28"/>
          <w:szCs w:val="28"/>
        </w:rPr>
        <w:t xml:space="preserve"> or President</w:t>
      </w:r>
      <w:r w:rsidR="00C97F2B">
        <w:rPr>
          <w:rFonts w:ascii="Browallia New" w:hAnsi="Browallia New" w:cs="Browallia New"/>
          <w:sz w:val="28"/>
          <w:szCs w:val="28"/>
        </w:rPr>
        <w:t xml:space="preserve"> with more reporting to the CFO for large organizations, public companies, and not-for-profit organizations.</w:t>
      </w:r>
    </w:p>
    <w:p w14:paraId="0D566D72" w14:textId="7986EAB2" w:rsidR="00F6494D" w:rsidRPr="00F6494D" w:rsidRDefault="00F6494D" w:rsidP="00556EBB">
      <w:pPr>
        <w:spacing w:line="204" w:lineRule="auto"/>
        <w:jc w:val="both"/>
        <w:rPr>
          <w:b/>
          <w:bCs/>
          <w:smallCaps/>
          <w:color w:val="3891A7" w:themeColor="accent1"/>
          <w:spacing w:val="5"/>
        </w:rPr>
      </w:pPr>
      <w:r w:rsidRPr="00F6494D">
        <w:rPr>
          <w:rStyle w:val="IntenseReference"/>
          <w:color w:val="auto"/>
        </w:rPr>
        <w:t>PERCENTAGE OF RESPONDENTS</w:t>
      </w:r>
    </w:p>
    <w:tbl>
      <w:tblPr>
        <w:tblStyle w:val="LightList-Accent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960"/>
        <w:gridCol w:w="1559"/>
        <w:gridCol w:w="1564"/>
        <w:gridCol w:w="1559"/>
        <w:gridCol w:w="1559"/>
      </w:tblGrid>
      <w:tr w:rsidR="00815E7B" w:rsidRPr="00F46D57" w14:paraId="14B68EA0"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6A6A6" w:themeFill="background1" w:themeFillShade="A6"/>
          </w:tcPr>
          <w:p w14:paraId="44EA337A" w14:textId="77777777" w:rsidR="00815E7B" w:rsidRPr="003B1178" w:rsidRDefault="00815E7B" w:rsidP="00E12ABA">
            <w:pPr>
              <w:spacing w:line="204" w:lineRule="auto"/>
              <w:rPr>
                <w:rFonts w:ascii="Browallia New" w:hAnsi="Browallia New" w:cs="Browallia New"/>
                <w:color w:val="auto"/>
              </w:rPr>
            </w:pPr>
            <w:r w:rsidRPr="003B1178">
              <w:rPr>
                <w:rFonts w:ascii="Browallia New" w:hAnsi="Browallia New" w:cs="Browallia New"/>
                <w:color w:val="auto"/>
              </w:rPr>
              <w:t xml:space="preserve">To Whom Does the CRO </w:t>
            </w:r>
            <w:r w:rsidRPr="003B1178">
              <w:rPr>
                <w:rFonts w:ascii="Browallia New" w:hAnsi="Browallia New" w:cs="Browallia New"/>
                <w:color w:val="auto"/>
                <w:u w:val="single"/>
              </w:rPr>
              <w:t>Formally Report?</w:t>
            </w:r>
          </w:p>
        </w:tc>
        <w:tc>
          <w:tcPr>
            <w:tcW w:w="960" w:type="dxa"/>
            <w:shd w:val="clear" w:color="auto" w:fill="A6A6A6" w:themeFill="background1" w:themeFillShade="A6"/>
          </w:tcPr>
          <w:p w14:paraId="67C5B8E4"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27530069"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555" w:type="dxa"/>
            <w:shd w:val="clear" w:color="auto" w:fill="A6A6A6" w:themeFill="background1" w:themeFillShade="A6"/>
          </w:tcPr>
          <w:p w14:paraId="3643801B"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r w:rsidRPr="003B1178">
              <w:rPr>
                <w:rFonts w:ascii="Browallia New" w:hAnsi="Browallia New" w:cs="Browallia New"/>
                <w:color w:val="auto"/>
                <w:u w:val="single"/>
              </w:rPr>
              <w:t>(Revenues &gt;$1B)</w:t>
            </w:r>
          </w:p>
        </w:tc>
        <w:tc>
          <w:tcPr>
            <w:tcW w:w="1565" w:type="dxa"/>
            <w:shd w:val="clear" w:color="auto" w:fill="A6A6A6" w:themeFill="background1" w:themeFillShade="A6"/>
          </w:tcPr>
          <w:p w14:paraId="56965BFB"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560" w:type="dxa"/>
            <w:shd w:val="clear" w:color="auto" w:fill="A6A6A6" w:themeFill="background1" w:themeFillShade="A6"/>
          </w:tcPr>
          <w:p w14:paraId="615393A8"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5E548E50"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60" w:type="dxa"/>
            <w:shd w:val="clear" w:color="auto" w:fill="A6A6A6" w:themeFill="background1" w:themeFillShade="A6"/>
          </w:tcPr>
          <w:p w14:paraId="6CE47DAF"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815E7B" w:rsidRPr="00F46D57" w14:paraId="0933D4F5" w14:textId="77777777" w:rsidTr="00F6494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tcBorders>
            <w:shd w:val="clear" w:color="auto" w:fill="FFFFFF" w:themeFill="background1"/>
          </w:tcPr>
          <w:p w14:paraId="3A8A40E7" w14:textId="77777777" w:rsidR="00815E7B" w:rsidRPr="003B1178" w:rsidRDefault="00815E7B" w:rsidP="00E12ABA">
            <w:pPr>
              <w:spacing w:line="204" w:lineRule="auto"/>
              <w:rPr>
                <w:rFonts w:ascii="Browallia New" w:hAnsi="Browallia New" w:cs="Browallia New"/>
              </w:rPr>
            </w:pPr>
          </w:p>
          <w:p w14:paraId="64E8C145" w14:textId="77777777" w:rsidR="00815E7B" w:rsidRPr="003B1178" w:rsidRDefault="00815E7B" w:rsidP="00E12ABA">
            <w:pPr>
              <w:spacing w:line="204" w:lineRule="auto"/>
              <w:rPr>
                <w:rFonts w:ascii="Browallia New" w:hAnsi="Browallia New" w:cs="Browallia New"/>
              </w:rPr>
            </w:pPr>
            <w:r w:rsidRPr="003B1178">
              <w:rPr>
                <w:rFonts w:ascii="Browallia New" w:hAnsi="Browallia New" w:cs="Browallia New"/>
              </w:rPr>
              <w:t>Board of Directors or Committee of the Board</w:t>
            </w:r>
          </w:p>
          <w:p w14:paraId="504B6EB9" w14:textId="77777777" w:rsidR="00815E7B" w:rsidRPr="003B1178" w:rsidRDefault="00815E7B" w:rsidP="00E12ABA">
            <w:pPr>
              <w:spacing w:line="204" w:lineRule="auto"/>
              <w:rPr>
                <w:rFonts w:ascii="Browallia New" w:hAnsi="Browallia New" w:cs="Browallia New"/>
              </w:rPr>
            </w:pPr>
          </w:p>
        </w:tc>
        <w:tc>
          <w:tcPr>
            <w:tcW w:w="960" w:type="dxa"/>
            <w:tcBorders>
              <w:top w:val="none" w:sz="0" w:space="0" w:color="auto"/>
              <w:bottom w:val="none" w:sz="0" w:space="0" w:color="auto"/>
            </w:tcBorders>
            <w:shd w:val="clear" w:color="auto" w:fill="FFFFFF" w:themeFill="background1"/>
          </w:tcPr>
          <w:p w14:paraId="78E3964E"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E0A2C24"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23%</w:t>
            </w:r>
          </w:p>
        </w:tc>
        <w:tc>
          <w:tcPr>
            <w:tcW w:w="1560" w:type="dxa"/>
            <w:tcBorders>
              <w:top w:val="none" w:sz="0" w:space="0" w:color="auto"/>
              <w:bottom w:val="none" w:sz="0" w:space="0" w:color="auto"/>
            </w:tcBorders>
            <w:shd w:val="clear" w:color="auto" w:fill="FFFFFF" w:themeFill="background1"/>
          </w:tcPr>
          <w:p w14:paraId="774C3A04"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25A9C98"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c>
          <w:tcPr>
            <w:tcW w:w="1560" w:type="dxa"/>
            <w:tcBorders>
              <w:top w:val="none" w:sz="0" w:space="0" w:color="auto"/>
              <w:bottom w:val="none" w:sz="0" w:space="0" w:color="auto"/>
            </w:tcBorders>
            <w:shd w:val="clear" w:color="auto" w:fill="FFFFFF" w:themeFill="background1"/>
          </w:tcPr>
          <w:p w14:paraId="293657D9"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4D4F780"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24%</w:t>
            </w:r>
          </w:p>
        </w:tc>
        <w:tc>
          <w:tcPr>
            <w:tcW w:w="1560" w:type="dxa"/>
            <w:tcBorders>
              <w:top w:val="none" w:sz="0" w:space="0" w:color="auto"/>
              <w:bottom w:val="none" w:sz="0" w:space="0" w:color="auto"/>
            </w:tcBorders>
            <w:shd w:val="clear" w:color="auto" w:fill="FFFFFF" w:themeFill="background1"/>
          </w:tcPr>
          <w:p w14:paraId="1927B0E9"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2BA9218"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25%</w:t>
            </w:r>
          </w:p>
        </w:tc>
        <w:tc>
          <w:tcPr>
            <w:tcW w:w="1560" w:type="dxa"/>
            <w:tcBorders>
              <w:top w:val="none" w:sz="0" w:space="0" w:color="auto"/>
              <w:bottom w:val="none" w:sz="0" w:space="0" w:color="auto"/>
              <w:right w:val="none" w:sz="0" w:space="0" w:color="auto"/>
            </w:tcBorders>
            <w:shd w:val="clear" w:color="auto" w:fill="FFFFFF" w:themeFill="background1"/>
          </w:tcPr>
          <w:p w14:paraId="6A836614"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DEFF26B"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19%</w:t>
            </w:r>
          </w:p>
        </w:tc>
      </w:tr>
      <w:tr w:rsidR="00815E7B" w:rsidRPr="00F46D57" w14:paraId="26CA7F63" w14:textId="77777777" w:rsidTr="00F6494D">
        <w:tc>
          <w:tcPr>
            <w:cnfStyle w:val="001000000000" w:firstRow="0" w:lastRow="0" w:firstColumn="1" w:lastColumn="0" w:oddVBand="0" w:evenVBand="0" w:oddHBand="0" w:evenHBand="0" w:firstRowFirstColumn="0" w:firstRowLastColumn="0" w:lastRowFirstColumn="0" w:lastRowLastColumn="0"/>
            <w:tcW w:w="2160" w:type="dxa"/>
            <w:shd w:val="clear" w:color="auto" w:fill="FFFFFF" w:themeFill="background1"/>
          </w:tcPr>
          <w:p w14:paraId="247D6591" w14:textId="77777777" w:rsidR="00815E7B" w:rsidRPr="003B1178" w:rsidRDefault="00815E7B" w:rsidP="00E12ABA">
            <w:pPr>
              <w:spacing w:line="204" w:lineRule="auto"/>
              <w:rPr>
                <w:rFonts w:ascii="Browallia New" w:hAnsi="Browallia New" w:cs="Browallia New"/>
              </w:rPr>
            </w:pPr>
            <w:r w:rsidRPr="003B1178">
              <w:rPr>
                <w:rFonts w:ascii="Browallia New" w:hAnsi="Browallia New" w:cs="Browallia New"/>
              </w:rPr>
              <w:t>Chief Executive Officer or President</w:t>
            </w:r>
          </w:p>
          <w:p w14:paraId="79AE25BE" w14:textId="77777777" w:rsidR="00815E7B" w:rsidRPr="003B1178" w:rsidRDefault="00815E7B" w:rsidP="00E12ABA">
            <w:pPr>
              <w:spacing w:line="204" w:lineRule="auto"/>
              <w:rPr>
                <w:rFonts w:ascii="Browallia New" w:hAnsi="Browallia New" w:cs="Browallia New"/>
              </w:rPr>
            </w:pPr>
          </w:p>
        </w:tc>
        <w:tc>
          <w:tcPr>
            <w:tcW w:w="960" w:type="dxa"/>
            <w:shd w:val="clear" w:color="auto" w:fill="FFFFFF" w:themeFill="background1"/>
          </w:tcPr>
          <w:p w14:paraId="28EAE176"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42%</w:t>
            </w:r>
          </w:p>
        </w:tc>
        <w:tc>
          <w:tcPr>
            <w:tcW w:w="1560" w:type="dxa"/>
            <w:shd w:val="clear" w:color="auto" w:fill="FFFFFF" w:themeFill="background1"/>
          </w:tcPr>
          <w:p w14:paraId="55D83406"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40%</w:t>
            </w:r>
          </w:p>
        </w:tc>
        <w:tc>
          <w:tcPr>
            <w:tcW w:w="1560" w:type="dxa"/>
            <w:shd w:val="clear" w:color="auto" w:fill="FFFFFF" w:themeFill="background1"/>
          </w:tcPr>
          <w:p w14:paraId="6250A0F2"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560" w:type="dxa"/>
            <w:shd w:val="clear" w:color="auto" w:fill="FFFFFF" w:themeFill="background1"/>
          </w:tcPr>
          <w:p w14:paraId="4A3B4ACA"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59%</w:t>
            </w:r>
          </w:p>
        </w:tc>
        <w:tc>
          <w:tcPr>
            <w:tcW w:w="1560" w:type="dxa"/>
            <w:shd w:val="clear" w:color="auto" w:fill="FFFFFF" w:themeFill="background1"/>
          </w:tcPr>
          <w:p w14:paraId="5FB11048"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32%</w:t>
            </w:r>
          </w:p>
        </w:tc>
      </w:tr>
      <w:tr w:rsidR="00815E7B" w:rsidRPr="00F46D57" w14:paraId="510C5111"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tcBorders>
            <w:shd w:val="clear" w:color="auto" w:fill="FFFFFF" w:themeFill="background1"/>
          </w:tcPr>
          <w:p w14:paraId="4185BBA7" w14:textId="77777777" w:rsidR="00815E7B" w:rsidRPr="003B1178" w:rsidRDefault="00815E7B" w:rsidP="00E12ABA">
            <w:pPr>
              <w:spacing w:line="204" w:lineRule="auto"/>
              <w:rPr>
                <w:rFonts w:ascii="Browallia New" w:hAnsi="Browallia New" w:cs="Browallia New"/>
              </w:rPr>
            </w:pPr>
            <w:r w:rsidRPr="003B1178">
              <w:rPr>
                <w:rFonts w:ascii="Browallia New" w:hAnsi="Browallia New" w:cs="Browallia New"/>
              </w:rPr>
              <w:t>Chief Financial Officer</w:t>
            </w:r>
          </w:p>
          <w:p w14:paraId="427CC278" w14:textId="77777777" w:rsidR="00815E7B" w:rsidRPr="003B1178" w:rsidRDefault="00815E7B" w:rsidP="00E12ABA">
            <w:pPr>
              <w:spacing w:line="204" w:lineRule="auto"/>
              <w:rPr>
                <w:rFonts w:ascii="Browallia New" w:hAnsi="Browallia New" w:cs="Browallia New"/>
              </w:rPr>
            </w:pPr>
          </w:p>
        </w:tc>
        <w:tc>
          <w:tcPr>
            <w:tcW w:w="960" w:type="dxa"/>
            <w:tcBorders>
              <w:top w:val="none" w:sz="0" w:space="0" w:color="auto"/>
              <w:bottom w:val="none" w:sz="0" w:space="0" w:color="auto"/>
            </w:tcBorders>
            <w:shd w:val="clear" w:color="auto" w:fill="FFFFFF" w:themeFill="background1"/>
          </w:tcPr>
          <w:p w14:paraId="473D5667"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20%</w:t>
            </w:r>
          </w:p>
        </w:tc>
        <w:tc>
          <w:tcPr>
            <w:tcW w:w="1560" w:type="dxa"/>
            <w:tcBorders>
              <w:top w:val="none" w:sz="0" w:space="0" w:color="auto"/>
              <w:bottom w:val="none" w:sz="0" w:space="0" w:color="auto"/>
            </w:tcBorders>
            <w:shd w:val="clear" w:color="auto" w:fill="FFFFFF" w:themeFill="background1"/>
          </w:tcPr>
          <w:p w14:paraId="17287AF9"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29%</w:t>
            </w:r>
          </w:p>
        </w:tc>
        <w:tc>
          <w:tcPr>
            <w:tcW w:w="1560" w:type="dxa"/>
            <w:tcBorders>
              <w:top w:val="none" w:sz="0" w:space="0" w:color="auto"/>
              <w:bottom w:val="none" w:sz="0" w:space="0" w:color="auto"/>
            </w:tcBorders>
            <w:shd w:val="clear" w:color="auto" w:fill="FFFFFF" w:themeFill="background1"/>
          </w:tcPr>
          <w:p w14:paraId="070255DD"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22%</w:t>
            </w:r>
          </w:p>
        </w:tc>
        <w:tc>
          <w:tcPr>
            <w:tcW w:w="1560" w:type="dxa"/>
            <w:tcBorders>
              <w:top w:val="none" w:sz="0" w:space="0" w:color="auto"/>
              <w:bottom w:val="none" w:sz="0" w:space="0" w:color="auto"/>
            </w:tcBorders>
            <w:shd w:val="clear" w:color="auto" w:fill="FFFFFF" w:themeFill="background1"/>
          </w:tcPr>
          <w:p w14:paraId="7FA4A39F"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12%</w:t>
            </w:r>
          </w:p>
        </w:tc>
        <w:tc>
          <w:tcPr>
            <w:tcW w:w="1560" w:type="dxa"/>
            <w:tcBorders>
              <w:top w:val="none" w:sz="0" w:space="0" w:color="auto"/>
              <w:bottom w:val="none" w:sz="0" w:space="0" w:color="auto"/>
              <w:right w:val="none" w:sz="0" w:space="0" w:color="auto"/>
            </w:tcBorders>
            <w:shd w:val="clear" w:color="auto" w:fill="FFFFFF" w:themeFill="background1"/>
          </w:tcPr>
          <w:p w14:paraId="6A260EA2"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23%</w:t>
            </w:r>
          </w:p>
        </w:tc>
      </w:tr>
    </w:tbl>
    <w:p w14:paraId="608EC873" w14:textId="77777777" w:rsidR="00815E7B" w:rsidRPr="00F46D57" w:rsidRDefault="00815E7B" w:rsidP="00E500F4">
      <w:pPr>
        <w:spacing w:line="204" w:lineRule="auto"/>
        <w:jc w:val="both"/>
        <w:rPr>
          <w:rFonts w:ascii="Browallia New" w:hAnsi="Browallia New" w:cs="Browallia New"/>
        </w:rPr>
      </w:pPr>
      <w:proofErr w:type="gramStart"/>
      <w:r w:rsidRPr="00556EBB">
        <w:rPr>
          <w:rFonts w:ascii="Browallia New" w:hAnsi="Browallia New" w:cs="Browallia New"/>
          <w:sz w:val="28"/>
          <w:szCs w:val="28"/>
        </w:rPr>
        <w:t>Similar to</w:t>
      </w:r>
      <w:proofErr w:type="gramEnd"/>
      <w:r w:rsidRPr="00556EBB">
        <w:rPr>
          <w:rFonts w:ascii="Browallia New" w:hAnsi="Browallia New" w:cs="Browallia New"/>
          <w:sz w:val="28"/>
          <w:szCs w:val="28"/>
        </w:rPr>
        <w:t xml:space="preserve"> our observation that almost half (48%) of organizations are designating an executive to lead the risk oversight function (either as CRO or equivalent) in 2017, we also observed that </w:t>
      </w:r>
      <w:proofErr w:type="gramStart"/>
      <w:r w:rsidRPr="00556EBB">
        <w:rPr>
          <w:rFonts w:ascii="Browallia New" w:hAnsi="Browallia New" w:cs="Browallia New"/>
          <w:sz w:val="28"/>
          <w:szCs w:val="28"/>
        </w:rPr>
        <w:t>a number of</w:t>
      </w:r>
      <w:proofErr w:type="gramEnd"/>
      <w:r w:rsidRPr="00556EBB">
        <w:rPr>
          <w:rFonts w:ascii="Browallia New" w:hAnsi="Browallia New" w:cs="Browallia New"/>
          <w:sz w:val="28"/>
          <w:szCs w:val="28"/>
        </w:rPr>
        <w:t xml:space="preserve"> organizations have a management-level risk committee or equivalent. For 2017, 59% of the full sample has a risk committee as compared to 45% two years ago. </w:t>
      </w:r>
    </w:p>
    <w:p w14:paraId="60ACC45C" w14:textId="77777777" w:rsidR="00815E7B" w:rsidRPr="00F46D57" w:rsidRDefault="00815E7B" w:rsidP="00815E7B">
      <w:pPr>
        <w:jc w:val="both"/>
        <w:rPr>
          <w:rFonts w:ascii="Browallia New" w:hAnsi="Browallia New" w:cs="Browallia New"/>
        </w:rPr>
      </w:pPr>
      <w:r w:rsidRPr="00F46D57">
        <w:rPr>
          <w:rFonts w:ascii="Browallia New" w:hAnsi="Browallia New" w:cs="Browallia New"/>
          <w:noProof/>
        </w:rPr>
        <w:drawing>
          <wp:inline distT="0" distB="0" distL="0" distR="0" wp14:anchorId="5802D34F" wp14:editId="6B444045">
            <wp:extent cx="6259286" cy="2686050"/>
            <wp:effectExtent l="0" t="0" r="8255" b="0"/>
            <wp:docPr id="17" name="Chart 7" descr="Bar chart of organizations having management level risk committee from 2009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F5DC6E" w14:textId="77777777" w:rsidR="00815E7B" w:rsidRPr="00556EBB" w:rsidRDefault="00815E7B"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The presence of an internal risk committee was noticeably more likely to be present in the largest organizations, public companies, and financial services entities where 82%, 83%, and 80%, respectively, of those organizations had an internal risk committee. </w:t>
      </w:r>
      <w:proofErr w:type="gramStart"/>
      <w:r w:rsidRPr="00556EBB">
        <w:rPr>
          <w:rFonts w:ascii="Browallia New" w:hAnsi="Browallia New" w:cs="Browallia New"/>
          <w:sz w:val="28"/>
          <w:szCs w:val="28"/>
        </w:rPr>
        <w:t>And,</w:t>
      </w:r>
      <w:proofErr w:type="gramEnd"/>
      <w:r w:rsidRPr="00556EBB">
        <w:rPr>
          <w:rFonts w:ascii="Browallia New" w:hAnsi="Browallia New" w:cs="Browallia New"/>
          <w:sz w:val="28"/>
          <w:szCs w:val="28"/>
        </w:rPr>
        <w:t xml:space="preserve"> the increased use of a management-level risk committee was observed across all types of organizations as illustrated by the chart on the next page.</w:t>
      </w:r>
    </w:p>
    <w:p w14:paraId="19164E17" w14:textId="77777777" w:rsidR="00815E7B" w:rsidRPr="00F46D57" w:rsidRDefault="00815E7B" w:rsidP="00E24AB1">
      <w:pPr>
        <w:jc w:val="center"/>
        <w:rPr>
          <w:rFonts w:ascii="Browallia New" w:hAnsi="Browallia New" w:cs="Browallia New"/>
        </w:rPr>
      </w:pPr>
      <w:r w:rsidRPr="00F46D57">
        <w:rPr>
          <w:rFonts w:ascii="Browallia New" w:hAnsi="Browallia New" w:cs="Browallia New"/>
          <w:noProof/>
        </w:rPr>
        <w:lastRenderedPageBreak/>
        <w:drawing>
          <wp:inline distT="0" distB="0" distL="0" distR="0" wp14:anchorId="3CFB3AFE" wp14:editId="3E5A09F3">
            <wp:extent cx="5486400" cy="3412671"/>
            <wp:effectExtent l="0" t="0" r="0" b="0"/>
            <wp:docPr id="24" name="Chart 24" descr="Bar chart of organizations with management-level risk committees from 2014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BE91F0" w14:textId="77777777" w:rsidR="00815E7B" w:rsidRPr="00556EBB" w:rsidRDefault="00815E7B"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For the organizations with a formal executive risk oversight committee, those committees </w:t>
      </w:r>
      <w:proofErr w:type="gramStart"/>
      <w:r w:rsidRPr="00556EBB">
        <w:rPr>
          <w:rFonts w:ascii="Browallia New" w:hAnsi="Browallia New" w:cs="Browallia New"/>
          <w:sz w:val="28"/>
          <w:szCs w:val="28"/>
        </w:rPr>
        <w:t>met</w:t>
      </w:r>
      <w:proofErr w:type="gramEnd"/>
      <w:r w:rsidRPr="00556EBB">
        <w:rPr>
          <w:rFonts w:ascii="Browallia New" w:hAnsi="Browallia New" w:cs="Browallia New"/>
          <w:sz w:val="28"/>
          <w:szCs w:val="28"/>
        </w:rPr>
        <w:t xml:space="preserve"> most often (49% of the time) on a quarterly basis, with an additional 30% of the risk committees meeting monthly. These results did not differ notably for the subsets of largest organizations, public companies, or financial services entities. </w:t>
      </w:r>
    </w:p>
    <w:p w14:paraId="34F165E7" w14:textId="77777777" w:rsidR="00815E7B" w:rsidRPr="00556EBB" w:rsidRDefault="00815E7B"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The officer most likely to serve on the executive risk committee is the chief financial officer (CFO) who serves on 77% of the risk committees that exist among organizations represented in our survey. The CEO/President serves on 56% of the risk committees while the chief operating officer serves on 52% of the risk committees. In around half of the organizations surveyed, the general counsel and the internal audit officer also sit on the risk committee along with other executives from different positions.  </w:t>
      </w:r>
    </w:p>
    <w:p w14:paraId="2BDF0DDC" w14:textId="77777777" w:rsidR="00815E7B" w:rsidRPr="00556EBB" w:rsidRDefault="00815E7B"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It will be interesting to monitor whether overall ERM maturity advances in the next few years, given the increase in the percentage of entities creating a risk committee or designating someone to serve in a CRO role.</w:t>
      </w:r>
    </w:p>
    <w:p w14:paraId="27237A94" w14:textId="77777777" w:rsidR="00815E7B" w:rsidRPr="00556EBB" w:rsidRDefault="00536042" w:rsidP="00556EBB">
      <w:pPr>
        <w:spacing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59616" behindDoc="0" locked="0" layoutInCell="0" allowOverlap="1" wp14:anchorId="29DAD32D" wp14:editId="4AE44122">
                <wp:simplePos x="0" y="0"/>
                <wp:positionH relativeFrom="margin">
                  <wp:posOffset>3878580</wp:posOffset>
                </wp:positionH>
                <wp:positionV relativeFrom="margin">
                  <wp:posOffset>6446520</wp:posOffset>
                </wp:positionV>
                <wp:extent cx="2049780" cy="845820"/>
                <wp:effectExtent l="19050" t="19050" r="26670" b="11430"/>
                <wp:wrapSquare wrapText="bothSides"/>
                <wp:docPr id="10"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84582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4282FF14" w14:textId="77777777" w:rsidR="00206200" w:rsidRPr="003B1178" w:rsidRDefault="00206200" w:rsidP="00815E7B">
                            <w:pPr>
                              <w:shd w:val="clear" w:color="auto" w:fill="C48B01" w:themeFill="accent2" w:themeFillShade="BF"/>
                              <w:spacing w:line="192" w:lineRule="auto"/>
                              <w:jc w:val="center"/>
                              <w:rPr>
                                <w:rFonts w:ascii="Browallia New" w:hAnsi="Browallia New" w:cs="Browallia New"/>
                                <w:b/>
                                <w:color w:val="232D46" w:themeColor="accent6" w:themeShade="80"/>
                                <w:sz w:val="24"/>
                                <w:szCs w:val="24"/>
                              </w:rPr>
                            </w:pPr>
                            <w:r w:rsidRPr="003B1178">
                              <w:rPr>
                                <w:rFonts w:ascii="Browallia New" w:hAnsi="Browallia New" w:cs="Browallia New"/>
                                <w:b/>
                                <w:color w:val="232D46" w:themeColor="accent6" w:themeShade="80"/>
                                <w:sz w:val="24"/>
                                <w:szCs w:val="24"/>
                              </w:rPr>
                              <w:t>For about half of the organizations, the board has delegated risk oversight to a committee, with most delegating to the audit committee.</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DAD32D" id="Oval 22" o:spid="_x0000_s1033" style="position:absolute;left:0;text-align:left;margin-left:305.4pt;margin-top:507.6pt;width:161.4pt;height:66.6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" o:allowincell="f" fillcolor="#c48b01 [2405]" strokecolor="#1a6da6" strokeweight="3pt">
                <v:textbox inset="3.6pt,,3.6pt">
                  <w:txbxContent>
                    <w:p w14:paraId="4282FF14" w14:textId="77777777" w:rsidR="00206200" w:rsidRPr="003B1178" w:rsidRDefault="00206200" w:rsidP="00815E7B">
                      <w:pPr>
                        <w:shd w:val="clear" w:color="auto" w:fill="C48B01" w:themeFill="accent2" w:themeFillShade="BF"/>
                        <w:spacing w:line="192" w:lineRule="auto"/>
                        <w:jc w:val="center"/>
                        <w:rPr>
                          <w:rFonts w:ascii="Browallia New" w:hAnsi="Browallia New" w:cs="Browallia New"/>
                          <w:b/>
                          <w:color w:val="232D46" w:themeColor="accent6" w:themeShade="80"/>
                          <w:sz w:val="24"/>
                          <w:szCs w:val="24"/>
                        </w:rPr>
                      </w:pPr>
                      <w:r w:rsidRPr="003B1178">
                        <w:rPr>
                          <w:rFonts w:ascii="Browallia New" w:hAnsi="Browallia New" w:cs="Browallia New"/>
                          <w:b/>
                          <w:color w:val="232D46" w:themeColor="accent6" w:themeShade="80"/>
                          <w:sz w:val="24"/>
                          <w:szCs w:val="24"/>
                        </w:rPr>
                        <w:t>For about half of the organizations, the board has delegated risk oversight to a committee, with most delegating to the audit committee.</w:t>
                      </w:r>
                    </w:p>
                  </w:txbxContent>
                </v:textbox>
                <w10:wrap type="square" anchorx="margin" anchory="margin"/>
              </v:roundrect>
            </w:pict>
          </mc:Fallback>
        </mc:AlternateContent>
      </w:r>
      <w:r w:rsidR="00815E7B" w:rsidRPr="00556EBB">
        <w:rPr>
          <w:rFonts w:ascii="Browallia New" w:hAnsi="Browallia New" w:cs="Browallia New"/>
          <w:sz w:val="28"/>
          <w:szCs w:val="28"/>
        </w:rPr>
        <w:t xml:space="preserve">Regulators and other corporate governance proponents have placed </w:t>
      </w:r>
      <w:proofErr w:type="gramStart"/>
      <w:r w:rsidR="00815E7B" w:rsidRPr="00556EBB">
        <w:rPr>
          <w:rFonts w:ascii="Browallia New" w:hAnsi="Browallia New" w:cs="Browallia New"/>
          <w:sz w:val="28"/>
          <w:szCs w:val="28"/>
        </w:rPr>
        <w:t>a number of</w:t>
      </w:r>
      <w:proofErr w:type="gramEnd"/>
      <w:r w:rsidR="00815E7B" w:rsidRPr="00556EBB">
        <w:rPr>
          <w:rFonts w:ascii="Browallia New" w:hAnsi="Browallia New" w:cs="Browallia New"/>
          <w:sz w:val="28"/>
          <w:szCs w:val="28"/>
        </w:rPr>
        <w:t xml:space="preserve"> expectations on </w:t>
      </w:r>
      <w:proofErr w:type="gramStart"/>
      <w:r w:rsidR="00815E7B" w:rsidRPr="00556EBB">
        <w:rPr>
          <w:rFonts w:ascii="Browallia New" w:hAnsi="Browallia New" w:cs="Browallia New"/>
          <w:sz w:val="28"/>
          <w:szCs w:val="28"/>
        </w:rPr>
        <w:t>boards</w:t>
      </w:r>
      <w:proofErr w:type="gramEnd"/>
      <w:r w:rsidR="00815E7B" w:rsidRPr="00556EBB">
        <w:rPr>
          <w:rFonts w:ascii="Browallia New" w:hAnsi="Browallia New" w:cs="Browallia New"/>
          <w:sz w:val="28"/>
          <w:szCs w:val="28"/>
        </w:rPr>
        <w:t xml:space="preserve"> for effective risk oversight. The New York Stock Exchange (NYSE) Governance Rules place responsibility for risk oversight on the audit committee, while credit rating agencies, such as Standard &amp; Poor’s, evaluate the engagement of the board in risk oversight as part of their credit rating assessments. The SEC requires boards of public companies to </w:t>
      </w:r>
      <w:proofErr w:type="gramStart"/>
      <w:r w:rsidR="00815E7B" w:rsidRPr="00556EBB">
        <w:rPr>
          <w:rFonts w:ascii="Browallia New" w:hAnsi="Browallia New" w:cs="Browallia New"/>
          <w:sz w:val="28"/>
          <w:szCs w:val="28"/>
        </w:rPr>
        <w:t>disclose in</w:t>
      </w:r>
      <w:proofErr w:type="gramEnd"/>
      <w:r w:rsidR="00815E7B" w:rsidRPr="00556EBB">
        <w:rPr>
          <w:rFonts w:ascii="Browallia New" w:hAnsi="Browallia New" w:cs="Browallia New"/>
          <w:sz w:val="28"/>
          <w:szCs w:val="28"/>
        </w:rPr>
        <w:t xml:space="preserve"> proxy statements to shareholders the board’s role in risk oversight, and the Dodd-Frank legislation imposes requirements for boards of the largest financial institutions to create board-level risk committees. While many of these are targeted explicitly to public companies, expectations are gradually being recognized as best practices for board governance causing a trickle-down effect on all types of organizations, including not-for-profits.  </w:t>
      </w:r>
    </w:p>
    <w:p w14:paraId="17224873" w14:textId="77777777" w:rsidR="00815E7B" w:rsidRDefault="00815E7B"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To shed some insight into current practices, we asked respondents to provide information about how their organization’s board of directors has delegated risk oversight to board level committees. We found that 57% of the </w:t>
      </w:r>
      <w:r w:rsidRPr="00556EBB">
        <w:rPr>
          <w:rFonts w:ascii="Browallia New" w:hAnsi="Browallia New" w:cs="Browallia New"/>
          <w:sz w:val="28"/>
          <w:szCs w:val="28"/>
        </w:rPr>
        <w:lastRenderedPageBreak/>
        <w:t>respondents in the full sample indicated that their boards have formally assigned risk oversight responsibility to a board committee. This is noticeably different from the largest organizations, public companies, and financial</w:t>
      </w:r>
      <w:r w:rsidR="003A1FAA">
        <w:rPr>
          <w:rFonts w:ascii="Browallia New" w:hAnsi="Browallia New" w:cs="Browallia New"/>
          <w:sz w:val="28"/>
          <w:szCs w:val="28"/>
        </w:rPr>
        <w:t xml:space="preserve"> services organizations where 78</w:t>
      </w:r>
      <w:r w:rsidRPr="00556EBB">
        <w:rPr>
          <w:rFonts w:ascii="Browallia New" w:hAnsi="Browallia New" w:cs="Browallia New"/>
          <w:sz w:val="28"/>
          <w:szCs w:val="28"/>
        </w:rPr>
        <w:t>%, 81%, and 74% respectively, of those organizations’ boards have assigned to a board committee formal responsibility for overseeing management’s risk assessment and risk management processes. For those boards that have assigned formal risk oversight to a committee, just under half (46%) are assigning that task to the audit committee. Almost one third of firms assign oversight to a risk committee. The largest organizations and not-for-profit organizations are most likely to assign formal risk oversight to the audit committee.</w:t>
      </w:r>
    </w:p>
    <w:p w14:paraId="502E8A63" w14:textId="59DC7843" w:rsidR="00F6494D" w:rsidRPr="00F6494D" w:rsidRDefault="00F6494D" w:rsidP="00556EBB">
      <w:pPr>
        <w:spacing w:line="204" w:lineRule="auto"/>
        <w:jc w:val="both"/>
        <w:rPr>
          <w:b/>
          <w:bCs/>
          <w:smallCaps/>
          <w:color w:val="3891A7" w:themeColor="accent1"/>
          <w:spacing w:val="5"/>
        </w:rPr>
      </w:pPr>
      <w:r w:rsidRPr="00F6494D">
        <w:rPr>
          <w:rStyle w:val="IntenseReference"/>
          <w:color w:val="auto"/>
        </w:rPr>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990"/>
        <w:gridCol w:w="1620"/>
        <w:gridCol w:w="1350"/>
        <w:gridCol w:w="1170"/>
        <w:gridCol w:w="1548"/>
      </w:tblGrid>
      <w:tr w:rsidR="00815E7B" w:rsidRPr="00F46D57" w14:paraId="764B8DDF"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A6A6A6" w:themeFill="background1" w:themeFillShade="A6"/>
          </w:tcPr>
          <w:p w14:paraId="00D6E3EE" w14:textId="77777777" w:rsidR="00815E7B" w:rsidRPr="003B1178" w:rsidRDefault="00815E7B" w:rsidP="00E12ABA">
            <w:pPr>
              <w:spacing w:line="204" w:lineRule="auto"/>
              <w:rPr>
                <w:rFonts w:ascii="Browallia New" w:hAnsi="Browallia New" w:cs="Browallia New"/>
                <w:color w:val="auto"/>
              </w:rPr>
            </w:pPr>
            <w:r w:rsidRPr="003B1178">
              <w:rPr>
                <w:rFonts w:ascii="Browallia New" w:hAnsi="Browallia New" w:cs="Browallia New"/>
                <w:color w:val="auto"/>
              </w:rPr>
              <w:t xml:space="preserve">If board delegates formal responsibility of risk oversight to a subcommittee, </w:t>
            </w:r>
            <w:r w:rsidRPr="003B1178">
              <w:rPr>
                <w:rFonts w:ascii="Browallia New" w:hAnsi="Browallia New" w:cs="Browallia New"/>
                <w:color w:val="auto"/>
                <w:u w:val="single"/>
              </w:rPr>
              <w:t>which committee is responsible?</w:t>
            </w:r>
          </w:p>
        </w:tc>
        <w:tc>
          <w:tcPr>
            <w:tcW w:w="990" w:type="dxa"/>
            <w:shd w:val="clear" w:color="auto" w:fill="A6A6A6" w:themeFill="background1" w:themeFillShade="A6"/>
          </w:tcPr>
          <w:p w14:paraId="4EF2D516"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54E58C9A"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054FCC90"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620" w:type="dxa"/>
            <w:shd w:val="clear" w:color="auto" w:fill="A6A6A6" w:themeFill="background1" w:themeFillShade="A6"/>
          </w:tcPr>
          <w:p w14:paraId="616750E8"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Largest Organizations</w:t>
            </w:r>
          </w:p>
          <w:p w14:paraId="5397AEA5"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(Revenues &gt;$1B)</w:t>
            </w:r>
          </w:p>
        </w:tc>
        <w:tc>
          <w:tcPr>
            <w:tcW w:w="1350" w:type="dxa"/>
            <w:shd w:val="clear" w:color="auto" w:fill="A6A6A6" w:themeFill="background1" w:themeFillShade="A6"/>
          </w:tcPr>
          <w:p w14:paraId="7D13CC06"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7B870B72"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170" w:type="dxa"/>
            <w:shd w:val="clear" w:color="auto" w:fill="A6A6A6" w:themeFill="background1" w:themeFillShade="A6"/>
          </w:tcPr>
          <w:p w14:paraId="06CF0BA1"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FFDD2AA"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57879FEB"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48" w:type="dxa"/>
            <w:shd w:val="clear" w:color="auto" w:fill="A6A6A6" w:themeFill="background1" w:themeFillShade="A6"/>
          </w:tcPr>
          <w:p w14:paraId="090EE440"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B57119E" w14:textId="77777777" w:rsidR="00815E7B" w:rsidRPr="003B1178" w:rsidRDefault="00815E7B" w:rsidP="00E12ABA">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815E7B" w:rsidRPr="00F46D57" w14:paraId="53360874" w14:textId="77777777" w:rsidTr="00F6494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none" w:sz="0" w:space="0" w:color="auto"/>
            </w:tcBorders>
            <w:shd w:val="clear" w:color="auto" w:fill="FFFFFF" w:themeFill="background1"/>
          </w:tcPr>
          <w:p w14:paraId="4B8E9C0C" w14:textId="77777777" w:rsidR="00815E7B" w:rsidRPr="003B1178" w:rsidRDefault="00815E7B" w:rsidP="00E12ABA">
            <w:pPr>
              <w:spacing w:line="204" w:lineRule="auto"/>
              <w:rPr>
                <w:rFonts w:ascii="Browallia New" w:hAnsi="Browallia New" w:cs="Browallia New"/>
              </w:rPr>
            </w:pPr>
          </w:p>
          <w:p w14:paraId="390551E6" w14:textId="77777777" w:rsidR="00815E7B" w:rsidRPr="003B1178" w:rsidRDefault="00815E7B" w:rsidP="00E12ABA">
            <w:pPr>
              <w:spacing w:line="204" w:lineRule="auto"/>
              <w:rPr>
                <w:rFonts w:ascii="Browallia New" w:hAnsi="Browallia New" w:cs="Browallia New"/>
              </w:rPr>
            </w:pPr>
            <w:r w:rsidRPr="003B1178">
              <w:rPr>
                <w:rFonts w:ascii="Browallia New" w:hAnsi="Browallia New" w:cs="Browallia New"/>
              </w:rPr>
              <w:t>Audit committee</w:t>
            </w:r>
          </w:p>
        </w:tc>
        <w:tc>
          <w:tcPr>
            <w:tcW w:w="990" w:type="dxa"/>
            <w:tcBorders>
              <w:top w:val="none" w:sz="0" w:space="0" w:color="auto"/>
              <w:bottom w:val="none" w:sz="0" w:space="0" w:color="auto"/>
            </w:tcBorders>
            <w:shd w:val="clear" w:color="auto" w:fill="FFFFFF" w:themeFill="background1"/>
          </w:tcPr>
          <w:p w14:paraId="1C23C0B8"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2A5165B"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46%</w:t>
            </w:r>
          </w:p>
        </w:tc>
        <w:tc>
          <w:tcPr>
            <w:tcW w:w="1620" w:type="dxa"/>
            <w:tcBorders>
              <w:top w:val="none" w:sz="0" w:space="0" w:color="auto"/>
              <w:bottom w:val="none" w:sz="0" w:space="0" w:color="auto"/>
            </w:tcBorders>
            <w:shd w:val="clear" w:color="auto" w:fill="FFFFFF" w:themeFill="background1"/>
          </w:tcPr>
          <w:p w14:paraId="32576DC9"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F1B91DB"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56%</w:t>
            </w:r>
          </w:p>
        </w:tc>
        <w:tc>
          <w:tcPr>
            <w:tcW w:w="1350" w:type="dxa"/>
            <w:tcBorders>
              <w:top w:val="none" w:sz="0" w:space="0" w:color="auto"/>
              <w:bottom w:val="none" w:sz="0" w:space="0" w:color="auto"/>
            </w:tcBorders>
            <w:shd w:val="clear" w:color="auto" w:fill="FFFFFF" w:themeFill="background1"/>
          </w:tcPr>
          <w:p w14:paraId="3FB77698"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C4D7E9B"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48%</w:t>
            </w:r>
          </w:p>
        </w:tc>
        <w:tc>
          <w:tcPr>
            <w:tcW w:w="1170" w:type="dxa"/>
            <w:tcBorders>
              <w:top w:val="none" w:sz="0" w:space="0" w:color="auto"/>
              <w:bottom w:val="none" w:sz="0" w:space="0" w:color="auto"/>
            </w:tcBorders>
            <w:shd w:val="clear" w:color="auto" w:fill="FFFFFF" w:themeFill="background1"/>
          </w:tcPr>
          <w:p w14:paraId="43FEF4E6"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705E74F"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c>
          <w:tcPr>
            <w:tcW w:w="1548" w:type="dxa"/>
            <w:tcBorders>
              <w:top w:val="none" w:sz="0" w:space="0" w:color="auto"/>
              <w:bottom w:val="none" w:sz="0" w:space="0" w:color="auto"/>
              <w:right w:val="none" w:sz="0" w:space="0" w:color="auto"/>
            </w:tcBorders>
            <w:shd w:val="clear" w:color="auto" w:fill="FFFFFF" w:themeFill="background1"/>
          </w:tcPr>
          <w:p w14:paraId="28878DAE"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35306BA"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54%</w:t>
            </w:r>
          </w:p>
        </w:tc>
      </w:tr>
      <w:tr w:rsidR="00815E7B" w:rsidRPr="00F46D57" w14:paraId="2346731C" w14:textId="77777777" w:rsidTr="00F6494D">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tcPr>
          <w:p w14:paraId="5AEF1FC8" w14:textId="77777777" w:rsidR="00815E7B" w:rsidRPr="003B1178" w:rsidRDefault="00815E7B" w:rsidP="00E12ABA">
            <w:pPr>
              <w:spacing w:line="204" w:lineRule="auto"/>
              <w:rPr>
                <w:rFonts w:ascii="Browallia New" w:hAnsi="Browallia New" w:cs="Browallia New"/>
              </w:rPr>
            </w:pPr>
            <w:r w:rsidRPr="003B1178">
              <w:rPr>
                <w:rFonts w:ascii="Browallia New" w:hAnsi="Browallia New" w:cs="Browallia New"/>
              </w:rPr>
              <w:t>Risk committee</w:t>
            </w:r>
          </w:p>
        </w:tc>
        <w:tc>
          <w:tcPr>
            <w:tcW w:w="990" w:type="dxa"/>
            <w:shd w:val="clear" w:color="auto" w:fill="FFFFFF" w:themeFill="background1"/>
          </w:tcPr>
          <w:p w14:paraId="22A32D1A"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c>
          <w:tcPr>
            <w:tcW w:w="1620" w:type="dxa"/>
            <w:shd w:val="clear" w:color="auto" w:fill="FFFFFF" w:themeFill="background1"/>
          </w:tcPr>
          <w:p w14:paraId="6905F212"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24%</w:t>
            </w:r>
          </w:p>
        </w:tc>
        <w:tc>
          <w:tcPr>
            <w:tcW w:w="1350" w:type="dxa"/>
            <w:shd w:val="clear" w:color="auto" w:fill="FFFFFF" w:themeFill="background1"/>
          </w:tcPr>
          <w:p w14:paraId="24247C26"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34%</w:t>
            </w:r>
          </w:p>
        </w:tc>
        <w:tc>
          <w:tcPr>
            <w:tcW w:w="1170" w:type="dxa"/>
            <w:shd w:val="clear" w:color="auto" w:fill="FFFFFF" w:themeFill="background1"/>
          </w:tcPr>
          <w:p w14:paraId="26BB8EF4"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51%</w:t>
            </w:r>
          </w:p>
        </w:tc>
        <w:tc>
          <w:tcPr>
            <w:tcW w:w="1548" w:type="dxa"/>
            <w:shd w:val="clear" w:color="auto" w:fill="FFFFFF" w:themeFill="background1"/>
          </w:tcPr>
          <w:p w14:paraId="0467F59E" w14:textId="77777777" w:rsidR="00815E7B" w:rsidRPr="003B1178" w:rsidRDefault="00815E7B" w:rsidP="00E12AB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15%</w:t>
            </w:r>
          </w:p>
        </w:tc>
      </w:tr>
      <w:tr w:rsidR="00815E7B" w:rsidRPr="00F46D57" w14:paraId="3D985180"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none" w:sz="0" w:space="0" w:color="auto"/>
            </w:tcBorders>
            <w:shd w:val="clear" w:color="auto" w:fill="FFFFFF" w:themeFill="background1"/>
          </w:tcPr>
          <w:p w14:paraId="60BAC24D" w14:textId="77777777" w:rsidR="00815E7B" w:rsidRPr="003B1178" w:rsidRDefault="00815E7B" w:rsidP="00E12ABA">
            <w:pPr>
              <w:spacing w:line="204" w:lineRule="auto"/>
              <w:rPr>
                <w:rFonts w:ascii="Browallia New" w:hAnsi="Browallia New" w:cs="Browallia New"/>
              </w:rPr>
            </w:pPr>
            <w:r w:rsidRPr="003B1178">
              <w:rPr>
                <w:rFonts w:ascii="Browallia New" w:hAnsi="Browallia New" w:cs="Browallia New"/>
              </w:rPr>
              <w:t>Executive committee</w:t>
            </w:r>
          </w:p>
        </w:tc>
        <w:tc>
          <w:tcPr>
            <w:tcW w:w="990" w:type="dxa"/>
            <w:tcBorders>
              <w:top w:val="none" w:sz="0" w:space="0" w:color="auto"/>
              <w:bottom w:val="none" w:sz="0" w:space="0" w:color="auto"/>
            </w:tcBorders>
            <w:shd w:val="clear" w:color="auto" w:fill="FFFFFF" w:themeFill="background1"/>
          </w:tcPr>
          <w:p w14:paraId="77BCE899"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w:t>
            </w:r>
          </w:p>
        </w:tc>
        <w:tc>
          <w:tcPr>
            <w:tcW w:w="1620" w:type="dxa"/>
            <w:tcBorders>
              <w:top w:val="none" w:sz="0" w:space="0" w:color="auto"/>
              <w:bottom w:val="none" w:sz="0" w:space="0" w:color="auto"/>
            </w:tcBorders>
            <w:shd w:val="clear" w:color="auto" w:fill="FFFFFF" w:themeFill="background1"/>
          </w:tcPr>
          <w:p w14:paraId="2534339D"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w:t>
            </w:r>
          </w:p>
        </w:tc>
        <w:tc>
          <w:tcPr>
            <w:tcW w:w="1350" w:type="dxa"/>
            <w:tcBorders>
              <w:top w:val="none" w:sz="0" w:space="0" w:color="auto"/>
              <w:bottom w:val="none" w:sz="0" w:space="0" w:color="auto"/>
            </w:tcBorders>
            <w:shd w:val="clear" w:color="auto" w:fill="FFFFFF" w:themeFill="background1"/>
          </w:tcPr>
          <w:p w14:paraId="5EACD597"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w:t>
            </w:r>
          </w:p>
        </w:tc>
        <w:tc>
          <w:tcPr>
            <w:tcW w:w="1170" w:type="dxa"/>
            <w:tcBorders>
              <w:top w:val="none" w:sz="0" w:space="0" w:color="auto"/>
              <w:bottom w:val="none" w:sz="0" w:space="0" w:color="auto"/>
            </w:tcBorders>
            <w:shd w:val="clear" w:color="auto" w:fill="FFFFFF" w:themeFill="background1"/>
          </w:tcPr>
          <w:p w14:paraId="278AED9B"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w:t>
            </w:r>
          </w:p>
        </w:tc>
        <w:tc>
          <w:tcPr>
            <w:tcW w:w="1548" w:type="dxa"/>
            <w:tcBorders>
              <w:top w:val="none" w:sz="0" w:space="0" w:color="auto"/>
              <w:bottom w:val="none" w:sz="0" w:space="0" w:color="auto"/>
              <w:right w:val="none" w:sz="0" w:space="0" w:color="auto"/>
            </w:tcBorders>
            <w:shd w:val="clear" w:color="auto" w:fill="FFFFFF" w:themeFill="background1"/>
          </w:tcPr>
          <w:p w14:paraId="17CA0E6E" w14:textId="77777777" w:rsidR="00815E7B" w:rsidRPr="003B1178" w:rsidRDefault="00815E7B" w:rsidP="00E12AB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w:t>
            </w:r>
          </w:p>
        </w:tc>
      </w:tr>
    </w:tbl>
    <w:p w14:paraId="177B768A" w14:textId="77777777" w:rsidR="003A4480" w:rsidRPr="00F46D57" w:rsidRDefault="003A4480" w:rsidP="00A11C51">
      <w:pPr>
        <w:jc w:val="both"/>
        <w:rPr>
          <w:rFonts w:ascii="Browallia New" w:hAnsi="Browallia New" w:cs="Browallia New"/>
          <w:color w:val="C00000"/>
          <w:sz w:val="36"/>
          <w:szCs w:val="36"/>
        </w:rPr>
      </w:pPr>
      <w:r w:rsidRPr="00F46D57">
        <w:rPr>
          <w:rFonts w:ascii="Browallia New" w:hAnsi="Browallia New" w:cs="Browallia New"/>
          <w:color w:val="C00000"/>
          <w:sz w:val="36"/>
          <w:szCs w:val="36"/>
        </w:rPr>
        <w:br w:type="page"/>
      </w:r>
    </w:p>
    <w:p w14:paraId="767F5A35" w14:textId="77777777" w:rsidR="005B3E7A" w:rsidRPr="00094821" w:rsidRDefault="006211B9" w:rsidP="00181B6D">
      <w:pPr>
        <w:pStyle w:val="Heading1"/>
      </w:pPr>
      <w:r>
        <w:lastRenderedPageBreak/>
        <w:t>LINKING RISK OVERSIGHT AND STRATEGIC PLANNING</w:t>
      </w:r>
    </w:p>
    <w:p w14:paraId="0EB48770" w14:textId="77777777" w:rsidR="00556EBB" w:rsidRPr="00775C92" w:rsidRDefault="00B57E24" w:rsidP="00775C92">
      <w:pPr>
        <w:pStyle w:val="ListParagraph"/>
        <w:numPr>
          <w:ilvl w:val="0"/>
          <w:numId w:val="40"/>
        </w:numPr>
        <w:spacing w:line="204" w:lineRule="auto"/>
        <w:ind w:right="432"/>
        <w:jc w:val="both"/>
        <w:rPr>
          <w:rFonts w:ascii="Browallia New" w:hAnsi="Browallia New" w:cs="Browallia New"/>
          <w:b/>
          <w:i/>
          <w:color w:val="0070C0"/>
          <w:sz w:val="28"/>
          <w:szCs w:val="28"/>
        </w:rPr>
      </w:pPr>
      <w:proofErr w:type="gramStart"/>
      <w:r w:rsidRPr="00775C92">
        <w:rPr>
          <w:rFonts w:ascii="Browallia New" w:hAnsi="Browallia New" w:cs="Browallia New"/>
          <w:b/>
          <w:i/>
          <w:color w:val="0070C0"/>
          <w:sz w:val="28"/>
          <w:szCs w:val="28"/>
        </w:rPr>
        <w:t>The majority of</w:t>
      </w:r>
      <w:proofErr w:type="gramEnd"/>
      <w:r w:rsidRPr="00775C92">
        <w:rPr>
          <w:rFonts w:ascii="Browallia New" w:hAnsi="Browallia New" w:cs="Browallia New"/>
          <w:b/>
          <w:i/>
          <w:color w:val="0070C0"/>
          <w:sz w:val="28"/>
          <w:szCs w:val="28"/>
        </w:rPr>
        <w:t xml:space="preserve"> </w:t>
      </w:r>
      <w:r w:rsidR="003A4480" w:rsidRPr="00775C92">
        <w:rPr>
          <w:rFonts w:ascii="Browallia New" w:hAnsi="Browallia New" w:cs="Browallia New"/>
          <w:b/>
          <w:i/>
          <w:color w:val="0070C0"/>
          <w:sz w:val="28"/>
          <w:szCs w:val="28"/>
        </w:rPr>
        <w:t>organizations struggl</w:t>
      </w:r>
      <w:r w:rsidRPr="00775C92">
        <w:rPr>
          <w:rFonts w:ascii="Browallia New" w:hAnsi="Browallia New" w:cs="Browallia New"/>
          <w:b/>
          <w:i/>
          <w:color w:val="0070C0"/>
          <w:sz w:val="28"/>
          <w:szCs w:val="28"/>
        </w:rPr>
        <w:t>e</w:t>
      </w:r>
      <w:r w:rsidR="003A4480" w:rsidRPr="00775C92">
        <w:rPr>
          <w:rFonts w:ascii="Browallia New" w:hAnsi="Browallia New" w:cs="Browallia New"/>
          <w:b/>
          <w:i/>
          <w:color w:val="0070C0"/>
          <w:sz w:val="28"/>
          <w:szCs w:val="28"/>
        </w:rPr>
        <w:t xml:space="preserve"> to </w:t>
      </w:r>
      <w:r w:rsidRPr="00775C92">
        <w:rPr>
          <w:rFonts w:ascii="Browallia New" w:hAnsi="Browallia New" w:cs="Browallia New"/>
          <w:b/>
          <w:i/>
          <w:color w:val="0070C0"/>
          <w:sz w:val="28"/>
          <w:szCs w:val="28"/>
        </w:rPr>
        <w:t xml:space="preserve">effectively </w:t>
      </w:r>
      <w:r w:rsidR="003A4480" w:rsidRPr="00775C92">
        <w:rPr>
          <w:rFonts w:ascii="Browallia New" w:hAnsi="Browallia New" w:cs="Browallia New"/>
          <w:b/>
          <w:i/>
          <w:color w:val="0070C0"/>
          <w:sz w:val="28"/>
          <w:szCs w:val="28"/>
        </w:rPr>
        <w:t xml:space="preserve">integrate </w:t>
      </w:r>
      <w:r w:rsidR="0018336E" w:rsidRPr="00775C92">
        <w:rPr>
          <w:rFonts w:ascii="Browallia New" w:hAnsi="Browallia New" w:cs="Browallia New"/>
          <w:b/>
          <w:i/>
          <w:color w:val="0070C0"/>
          <w:sz w:val="28"/>
          <w:szCs w:val="28"/>
        </w:rPr>
        <w:t>r</w:t>
      </w:r>
      <w:r w:rsidR="003A4480" w:rsidRPr="00775C92">
        <w:rPr>
          <w:rFonts w:ascii="Browallia New" w:hAnsi="Browallia New" w:cs="Browallia New"/>
          <w:b/>
          <w:i/>
          <w:color w:val="0070C0"/>
          <w:sz w:val="28"/>
          <w:szCs w:val="28"/>
        </w:rPr>
        <w:t xml:space="preserve">isk management with strategic planning efforts. </w:t>
      </w:r>
    </w:p>
    <w:p w14:paraId="3EBC819E" w14:textId="77777777" w:rsidR="00556EBB" w:rsidRPr="00775C92" w:rsidRDefault="00556EBB" w:rsidP="00775C92">
      <w:pPr>
        <w:pStyle w:val="ListParagraph"/>
        <w:numPr>
          <w:ilvl w:val="0"/>
          <w:numId w:val="40"/>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Only a small percentage of organizations view their risk management process as an important strategic tool</w:t>
      </w:r>
      <w:r w:rsidR="003A1FAA">
        <w:rPr>
          <w:rFonts w:ascii="Browallia New" w:hAnsi="Browallia New" w:cs="Browallia New"/>
          <w:b/>
          <w:i/>
          <w:color w:val="0070C0"/>
          <w:sz w:val="28"/>
          <w:szCs w:val="28"/>
        </w:rPr>
        <w:t>.</w:t>
      </w:r>
    </w:p>
    <w:p w14:paraId="60C57180" w14:textId="77777777" w:rsidR="003A4480" w:rsidRPr="00775C92" w:rsidRDefault="00B57E24" w:rsidP="00775C92">
      <w:pPr>
        <w:pStyle w:val="ListParagraph"/>
        <w:numPr>
          <w:ilvl w:val="0"/>
          <w:numId w:val="40"/>
        </w:numPr>
        <w:spacing w:line="204" w:lineRule="auto"/>
        <w:ind w:right="432"/>
        <w:jc w:val="both"/>
        <w:rPr>
          <w:rFonts w:ascii="Browallia New" w:hAnsi="Browallia New" w:cs="Browallia New"/>
          <w:b/>
          <w:i/>
          <w:color w:val="0070C0"/>
          <w:sz w:val="28"/>
          <w:szCs w:val="28"/>
        </w:rPr>
      </w:pPr>
      <w:r w:rsidRPr="00775C92">
        <w:rPr>
          <w:rFonts w:ascii="Browallia New" w:hAnsi="Browallia New" w:cs="Browallia New"/>
          <w:b/>
          <w:i/>
          <w:color w:val="0070C0"/>
          <w:sz w:val="28"/>
          <w:szCs w:val="28"/>
        </w:rPr>
        <w:t>Most organizations do not engage their board of directors in explicit discussions about top risk exposures as they discuss their strategic plans</w:t>
      </w:r>
      <w:r w:rsidR="003A4480" w:rsidRPr="00775C92">
        <w:rPr>
          <w:rFonts w:ascii="Browallia New" w:hAnsi="Browallia New" w:cs="Browallia New"/>
          <w:b/>
          <w:i/>
          <w:color w:val="0070C0"/>
          <w:sz w:val="28"/>
          <w:szCs w:val="28"/>
        </w:rPr>
        <w:t xml:space="preserve">. </w:t>
      </w:r>
    </w:p>
    <w:p w14:paraId="11A012F2" w14:textId="77777777" w:rsidR="005B3E7A" w:rsidRPr="00B57E24"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The increasingly competitive business landscape highlights the importance of having a more explicit focus on the interrelationship of risk-taking and strategy development and execution. We asked several questions to obtain information about the intersection of risk management and strategy in the organizations we surveyed.</w:t>
      </w:r>
    </w:p>
    <w:p w14:paraId="4503806A" w14:textId="77777777" w:rsidR="005B3E7A" w:rsidRPr="00B57E24"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Better understanding of risks facing the organization should provide rich input to the strategic planning process so that management and the board can design strategic goals and initiatives with the risks in mind. If functioning effectively, a robust ERM process should be an important strategic tool for management. </w:t>
      </w:r>
    </w:p>
    <w:p w14:paraId="32624CAF" w14:textId="77777777" w:rsidR="00A4744C"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Responses to the question about the extent </w:t>
      </w:r>
      <w:r w:rsidR="00FF6B3B" w:rsidRPr="00B57E24">
        <w:rPr>
          <w:rFonts w:ascii="Browallia New" w:hAnsi="Browallia New" w:cs="Browallia New"/>
          <w:sz w:val="28"/>
          <w:szCs w:val="28"/>
        </w:rPr>
        <w:t xml:space="preserve">to which </w:t>
      </w:r>
      <w:r w:rsidRPr="00B57E24">
        <w:rPr>
          <w:rFonts w:ascii="Browallia New" w:hAnsi="Browallia New" w:cs="Browallia New"/>
          <w:sz w:val="28"/>
          <w:szCs w:val="28"/>
        </w:rPr>
        <w:t>respondents believe the organization’s risk management process is a proprietary strategic tool that provides unique competitive advantage shed insight about how risk management is viewed in those organizations. Just over half (</w:t>
      </w:r>
      <w:r w:rsidR="00094821" w:rsidRPr="00B57E24">
        <w:rPr>
          <w:rFonts w:ascii="Browallia New" w:hAnsi="Browallia New" w:cs="Browallia New"/>
          <w:sz w:val="28"/>
          <w:szCs w:val="28"/>
        </w:rPr>
        <w:t>52</w:t>
      </w:r>
      <w:r w:rsidRPr="00B57E24">
        <w:rPr>
          <w:rFonts w:ascii="Browallia New" w:hAnsi="Browallia New" w:cs="Browallia New"/>
          <w:sz w:val="28"/>
          <w:szCs w:val="28"/>
        </w:rPr>
        <w:t>%) responded to that question by indica</w:t>
      </w:r>
      <w:r w:rsidR="00094821" w:rsidRPr="00B57E24">
        <w:rPr>
          <w:rFonts w:ascii="Browallia New" w:hAnsi="Browallia New" w:cs="Browallia New"/>
          <w:sz w:val="28"/>
          <w:szCs w:val="28"/>
        </w:rPr>
        <w:t>ting “not at all” or “minimally,</w:t>
      </w:r>
      <w:r w:rsidRPr="00B57E24">
        <w:rPr>
          <w:rFonts w:ascii="Browallia New" w:hAnsi="Browallia New" w:cs="Browallia New"/>
          <w:sz w:val="28"/>
          <w:szCs w:val="28"/>
        </w:rPr>
        <w:t xml:space="preserve">” </w:t>
      </w:r>
      <w:r w:rsidR="00094821" w:rsidRPr="00B57E24">
        <w:rPr>
          <w:rFonts w:ascii="Browallia New" w:hAnsi="Browallia New" w:cs="Browallia New"/>
          <w:sz w:val="28"/>
          <w:szCs w:val="28"/>
        </w:rPr>
        <w:t>consistent with what we observed in prior years. Organizations continue to struggle to integrate their risk management and strategic planning efforts.</w:t>
      </w:r>
      <w:r w:rsidRPr="00B57E24">
        <w:rPr>
          <w:rFonts w:ascii="Browallia New" w:hAnsi="Browallia New" w:cs="Browallia New"/>
          <w:sz w:val="28"/>
          <w:szCs w:val="28"/>
        </w:rPr>
        <w:t xml:space="preserve">  </w:t>
      </w:r>
    </w:p>
    <w:p w14:paraId="63AF2CB1" w14:textId="52526F05" w:rsidR="00181B6D" w:rsidRPr="00181B6D" w:rsidRDefault="00181B6D" w:rsidP="00B57E24">
      <w:pPr>
        <w:spacing w:line="204" w:lineRule="auto"/>
        <w:jc w:val="both"/>
        <w:rPr>
          <w:rStyle w:val="IntenseReference"/>
          <w:color w:val="1C4853" w:themeColor="accent1" w:themeShade="80"/>
        </w:rPr>
      </w:pPr>
      <w:r w:rsidRPr="00181B6D">
        <w:rPr>
          <w:rStyle w:val="IntenseReference"/>
          <w:color w:val="1C4853" w:themeColor="accent1" w:themeShade="80"/>
        </w:rPr>
        <w:t>Percentage of Respondents</w:t>
      </w:r>
    </w:p>
    <w:tbl>
      <w:tblPr>
        <w:tblStyle w:val="ListTable3-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221"/>
        <w:gridCol w:w="1154"/>
        <w:gridCol w:w="1157"/>
        <w:gridCol w:w="1144"/>
        <w:gridCol w:w="1435"/>
      </w:tblGrid>
      <w:tr w:rsidR="00A07F45" w:rsidRPr="00A07F45" w14:paraId="2899F799" w14:textId="77777777" w:rsidTr="00181B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43" w:type="dxa"/>
            <w:tcBorders>
              <w:bottom w:val="none" w:sz="0" w:space="0" w:color="auto"/>
              <w:right w:val="none" w:sz="0" w:space="0" w:color="auto"/>
            </w:tcBorders>
          </w:tcPr>
          <w:p w14:paraId="7D66D72A" w14:textId="77777777" w:rsidR="00A07F45" w:rsidRPr="00094821" w:rsidRDefault="00A07F45" w:rsidP="00A07F45">
            <w:pPr>
              <w:spacing w:line="192" w:lineRule="auto"/>
              <w:rPr>
                <w:rFonts w:ascii="Browallia New" w:hAnsi="Browallia New" w:cs="Browallia New"/>
                <w:color w:val="C48B01" w:themeColor="accent2" w:themeShade="BF"/>
              </w:rPr>
            </w:pPr>
          </w:p>
        </w:tc>
        <w:tc>
          <w:tcPr>
            <w:tcW w:w="1223" w:type="dxa"/>
            <w:shd w:val="clear" w:color="auto" w:fill="BFBFBF" w:themeFill="background1" w:themeFillShade="BF"/>
          </w:tcPr>
          <w:p w14:paraId="6D595839" w14:textId="77777777" w:rsidR="00A07F45" w:rsidRPr="003B1178" w:rsidRDefault="00A07F45" w:rsidP="00A07F45">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Not at All</w:t>
            </w:r>
          </w:p>
        </w:tc>
        <w:tc>
          <w:tcPr>
            <w:tcW w:w="1155" w:type="dxa"/>
            <w:shd w:val="clear" w:color="auto" w:fill="BFBFBF" w:themeFill="background1" w:themeFillShade="BF"/>
          </w:tcPr>
          <w:p w14:paraId="179A6730" w14:textId="77777777" w:rsidR="00A07F45" w:rsidRPr="003B1178" w:rsidRDefault="00A07F45" w:rsidP="00A07F45">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Minimally </w:t>
            </w:r>
          </w:p>
        </w:tc>
        <w:tc>
          <w:tcPr>
            <w:tcW w:w="1158" w:type="dxa"/>
            <w:shd w:val="clear" w:color="auto" w:fill="BFBFBF" w:themeFill="background1" w:themeFillShade="BF"/>
          </w:tcPr>
          <w:p w14:paraId="1975663F" w14:textId="77777777" w:rsidR="00A07F45" w:rsidRPr="003B1178" w:rsidRDefault="00A07F45" w:rsidP="00A07F45">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Somewhat </w:t>
            </w:r>
          </w:p>
        </w:tc>
        <w:tc>
          <w:tcPr>
            <w:tcW w:w="1145" w:type="dxa"/>
            <w:shd w:val="clear" w:color="auto" w:fill="BFBFBF" w:themeFill="background1" w:themeFillShade="BF"/>
          </w:tcPr>
          <w:p w14:paraId="47E02F24" w14:textId="77777777" w:rsidR="00A07F45" w:rsidRPr="003B1178" w:rsidRDefault="00A07F45" w:rsidP="00A07F45">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Mostly</w:t>
            </w:r>
          </w:p>
        </w:tc>
        <w:tc>
          <w:tcPr>
            <w:tcW w:w="1436" w:type="dxa"/>
            <w:shd w:val="clear" w:color="auto" w:fill="BFBFBF" w:themeFill="background1" w:themeFillShade="BF"/>
          </w:tcPr>
          <w:p w14:paraId="7E7D5104" w14:textId="77777777" w:rsidR="00A07F45" w:rsidRPr="003B1178" w:rsidRDefault="00A07F45" w:rsidP="00A07F45">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Extensively</w:t>
            </w:r>
          </w:p>
        </w:tc>
      </w:tr>
      <w:tr w:rsidR="00A07F45" w:rsidRPr="00F46D57" w14:paraId="797E2BE5"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tcBorders>
              <w:top w:val="none" w:sz="0" w:space="0" w:color="auto"/>
              <w:bottom w:val="none" w:sz="0" w:space="0" w:color="auto"/>
              <w:right w:val="none" w:sz="0" w:space="0" w:color="auto"/>
            </w:tcBorders>
          </w:tcPr>
          <w:p w14:paraId="35BC66D9" w14:textId="77777777" w:rsidR="00A07F45" w:rsidRPr="003B1178" w:rsidRDefault="00A07F45" w:rsidP="00A07F45">
            <w:pPr>
              <w:spacing w:line="192" w:lineRule="auto"/>
              <w:rPr>
                <w:rFonts w:ascii="Browallia New" w:hAnsi="Browallia New" w:cs="Browallia New"/>
              </w:rPr>
            </w:pPr>
            <w:r w:rsidRPr="003B1178">
              <w:rPr>
                <w:rFonts w:ascii="Browallia New" w:hAnsi="Browallia New" w:cs="Browallia New"/>
              </w:rPr>
              <w:t>To what extent do you believe the organization’s risk management process is a proprietary strategic tool that provides unique competitive advantage?</w:t>
            </w:r>
          </w:p>
        </w:tc>
        <w:tc>
          <w:tcPr>
            <w:tcW w:w="1223" w:type="dxa"/>
            <w:tcBorders>
              <w:top w:val="none" w:sz="0" w:space="0" w:color="auto"/>
              <w:bottom w:val="none" w:sz="0" w:space="0" w:color="auto"/>
            </w:tcBorders>
            <w:shd w:val="clear" w:color="auto" w:fill="FFFFFF" w:themeFill="background1"/>
          </w:tcPr>
          <w:p w14:paraId="17C26A80" w14:textId="77777777" w:rsidR="00A07F45" w:rsidRPr="003B1178" w:rsidRDefault="00A07F45" w:rsidP="00A07F45">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28%</w:t>
            </w:r>
          </w:p>
        </w:tc>
        <w:tc>
          <w:tcPr>
            <w:tcW w:w="1155" w:type="dxa"/>
            <w:tcBorders>
              <w:top w:val="none" w:sz="0" w:space="0" w:color="auto"/>
              <w:bottom w:val="none" w:sz="0" w:space="0" w:color="auto"/>
            </w:tcBorders>
            <w:shd w:val="clear" w:color="auto" w:fill="FFFFFF" w:themeFill="background1"/>
          </w:tcPr>
          <w:p w14:paraId="187C77E9" w14:textId="77777777" w:rsidR="00A07F45" w:rsidRPr="003B1178" w:rsidRDefault="00A07F45" w:rsidP="00A07F45">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24%</w:t>
            </w:r>
          </w:p>
        </w:tc>
        <w:tc>
          <w:tcPr>
            <w:tcW w:w="1158" w:type="dxa"/>
            <w:tcBorders>
              <w:top w:val="none" w:sz="0" w:space="0" w:color="auto"/>
              <w:bottom w:val="none" w:sz="0" w:space="0" w:color="auto"/>
            </w:tcBorders>
            <w:shd w:val="clear" w:color="auto" w:fill="FFFFFF" w:themeFill="background1"/>
          </w:tcPr>
          <w:p w14:paraId="7A10DD17" w14:textId="77777777" w:rsidR="00A07F45" w:rsidRPr="003B1178" w:rsidRDefault="003A1FAA" w:rsidP="003A1FAA">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29</w:t>
            </w:r>
            <w:r w:rsidR="00A07F45" w:rsidRPr="003B1178">
              <w:rPr>
                <w:rFonts w:ascii="Browallia New" w:hAnsi="Browallia New" w:cs="Browallia New"/>
                <w:b/>
              </w:rPr>
              <w:t>%</w:t>
            </w:r>
          </w:p>
        </w:tc>
        <w:tc>
          <w:tcPr>
            <w:tcW w:w="1145" w:type="dxa"/>
            <w:tcBorders>
              <w:top w:val="none" w:sz="0" w:space="0" w:color="auto"/>
              <w:bottom w:val="none" w:sz="0" w:space="0" w:color="auto"/>
            </w:tcBorders>
            <w:shd w:val="clear" w:color="auto" w:fill="FFFFFF" w:themeFill="background1"/>
          </w:tcPr>
          <w:p w14:paraId="73FEA514" w14:textId="77777777" w:rsidR="00A07F45" w:rsidRPr="003B1178" w:rsidRDefault="00A07F45" w:rsidP="00A07F45">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14%</w:t>
            </w:r>
          </w:p>
        </w:tc>
        <w:tc>
          <w:tcPr>
            <w:tcW w:w="1436" w:type="dxa"/>
            <w:tcBorders>
              <w:top w:val="none" w:sz="0" w:space="0" w:color="auto"/>
              <w:bottom w:val="none" w:sz="0" w:space="0" w:color="auto"/>
            </w:tcBorders>
            <w:shd w:val="clear" w:color="auto" w:fill="FFFFFF" w:themeFill="background1"/>
          </w:tcPr>
          <w:p w14:paraId="0B0FD57F" w14:textId="77777777" w:rsidR="00A07F45" w:rsidRPr="003B1178" w:rsidRDefault="00A07F45" w:rsidP="00A07F45">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w:t>
            </w:r>
          </w:p>
        </w:tc>
      </w:tr>
    </w:tbl>
    <w:p w14:paraId="7866EA52" w14:textId="77777777" w:rsidR="00A4744C" w:rsidRPr="00F46D57" w:rsidRDefault="00A4744C" w:rsidP="005B3E7A">
      <w:pPr>
        <w:jc w:val="both"/>
        <w:rPr>
          <w:rFonts w:ascii="Browallia New" w:hAnsi="Browallia New" w:cs="Browallia New"/>
        </w:rPr>
      </w:pPr>
    </w:p>
    <w:p w14:paraId="1F384EFE" w14:textId="77777777" w:rsidR="005B3E7A" w:rsidRPr="00B57E24"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Furthermore, </w:t>
      </w:r>
      <w:r w:rsidR="00A4744C" w:rsidRPr="00B57E24">
        <w:rPr>
          <w:rFonts w:ascii="Browallia New" w:hAnsi="Browallia New" w:cs="Browallia New"/>
          <w:sz w:val="28"/>
          <w:szCs w:val="28"/>
        </w:rPr>
        <w:t xml:space="preserve">as shown by the bar graph on the next page, </w:t>
      </w:r>
      <w:r w:rsidRPr="00B57E24">
        <w:rPr>
          <w:rFonts w:ascii="Browallia New" w:hAnsi="Browallia New" w:cs="Browallia New"/>
          <w:sz w:val="28"/>
          <w:szCs w:val="28"/>
        </w:rPr>
        <w:t xml:space="preserve">the assessment of the strategic value of the organization’s risk management process was </w:t>
      </w:r>
      <w:r w:rsidR="00094821" w:rsidRPr="00B57E24">
        <w:rPr>
          <w:rFonts w:ascii="Browallia New" w:hAnsi="Browallia New" w:cs="Browallia New"/>
          <w:sz w:val="28"/>
          <w:szCs w:val="28"/>
        </w:rPr>
        <w:t xml:space="preserve">somewhat higher for </w:t>
      </w:r>
      <w:r w:rsidRPr="00B57E24">
        <w:rPr>
          <w:rFonts w:ascii="Browallia New" w:hAnsi="Browallia New" w:cs="Browallia New"/>
          <w:sz w:val="28"/>
          <w:szCs w:val="28"/>
        </w:rPr>
        <w:t>public companies and financial services organizations</w:t>
      </w:r>
      <w:r w:rsidR="00094821" w:rsidRPr="00B57E24">
        <w:rPr>
          <w:rFonts w:ascii="Browallia New" w:hAnsi="Browallia New" w:cs="Browallia New"/>
          <w:sz w:val="28"/>
          <w:szCs w:val="28"/>
        </w:rPr>
        <w:t xml:space="preserve">; however, the percentage indicating that their risk management had </w:t>
      </w:r>
      <w:r w:rsidR="007E6B09" w:rsidRPr="00B57E24">
        <w:rPr>
          <w:rFonts w:ascii="Browallia New" w:hAnsi="Browallia New" w:cs="Browallia New"/>
          <w:sz w:val="28"/>
          <w:szCs w:val="28"/>
        </w:rPr>
        <w:t xml:space="preserve">“mostly” or “extensive” </w:t>
      </w:r>
      <w:r w:rsidR="00094821" w:rsidRPr="00B57E24">
        <w:rPr>
          <w:rFonts w:ascii="Browallia New" w:hAnsi="Browallia New" w:cs="Browallia New"/>
          <w:sz w:val="28"/>
          <w:szCs w:val="28"/>
        </w:rPr>
        <w:t>strategic value is still around one-third</w:t>
      </w:r>
      <w:r w:rsidR="003A1FAA">
        <w:rPr>
          <w:rFonts w:ascii="Browallia New" w:hAnsi="Browallia New" w:cs="Browallia New"/>
          <w:sz w:val="28"/>
          <w:szCs w:val="28"/>
        </w:rPr>
        <w:t xml:space="preserve"> for public companies and financial services organizations</w:t>
      </w:r>
      <w:r w:rsidRPr="00B57E24">
        <w:rPr>
          <w:rFonts w:ascii="Browallia New" w:hAnsi="Browallia New" w:cs="Browallia New"/>
          <w:sz w:val="28"/>
          <w:szCs w:val="28"/>
        </w:rPr>
        <w:t xml:space="preserve">. Thus, there may still be a lack of understanding of how an effective ERM process can be informative to management as they execute their strategic plan, and/or the organization has not developed its process well enough to consider it a proprietary strategic tool.  </w:t>
      </w:r>
    </w:p>
    <w:p w14:paraId="4E3B1BD9" w14:textId="77777777" w:rsidR="00A4744C" w:rsidRPr="00F46D57" w:rsidRDefault="00A4744C">
      <w:pPr>
        <w:rPr>
          <w:rFonts w:ascii="Browallia New" w:hAnsi="Browallia New" w:cs="Browallia New"/>
        </w:rPr>
      </w:pPr>
      <w:r w:rsidRPr="00F46D57">
        <w:rPr>
          <w:rFonts w:ascii="Browallia New" w:hAnsi="Browallia New" w:cs="Browallia New"/>
        </w:rPr>
        <w:br w:type="page"/>
      </w:r>
    </w:p>
    <w:p w14:paraId="4CA828CD" w14:textId="77777777" w:rsidR="00A4744C" w:rsidRPr="00F46D57" w:rsidRDefault="00A4744C" w:rsidP="00E24AB1">
      <w:pPr>
        <w:jc w:val="center"/>
        <w:rPr>
          <w:rFonts w:ascii="Browallia New" w:hAnsi="Browallia New" w:cs="Browallia New"/>
        </w:rPr>
      </w:pPr>
      <w:r w:rsidRPr="00F46D57">
        <w:rPr>
          <w:rFonts w:ascii="Browallia New" w:hAnsi="Browallia New" w:cs="Browallia New"/>
          <w:noProof/>
        </w:rPr>
        <w:lastRenderedPageBreak/>
        <w:drawing>
          <wp:inline distT="0" distB="0" distL="0" distR="0" wp14:anchorId="31A3A2C0" wp14:editId="77BCA64B">
            <wp:extent cx="5402580" cy="3200400"/>
            <wp:effectExtent l="0" t="0" r="7620" b="0"/>
            <wp:docPr id="133" name="Chart 133" descr="Bar chart of organizations who believe risk management mostly or extensively provides strategic advant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32198F" w14:textId="77777777" w:rsidR="0018336E" w:rsidRPr="00F46D57" w:rsidRDefault="0018336E" w:rsidP="0018336E">
      <w:pPr>
        <w:spacing w:after="0" w:line="240" w:lineRule="auto"/>
        <w:jc w:val="both"/>
        <w:rPr>
          <w:rFonts w:ascii="Browallia New" w:hAnsi="Browallia New" w:cs="Browallia New"/>
        </w:rPr>
      </w:pPr>
    </w:p>
    <w:p w14:paraId="1F0B8208" w14:textId="77777777" w:rsidR="005B3E7A" w:rsidRPr="00B57E24" w:rsidRDefault="00536042" w:rsidP="00B57E24">
      <w:pPr>
        <w:spacing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42208" behindDoc="0" locked="0" layoutInCell="0" allowOverlap="1" wp14:anchorId="48501CCF" wp14:editId="446E14A1">
                <wp:simplePos x="0" y="0"/>
                <wp:positionH relativeFrom="margin">
                  <wp:posOffset>0</wp:posOffset>
                </wp:positionH>
                <wp:positionV relativeFrom="margin">
                  <wp:posOffset>4213860</wp:posOffset>
                </wp:positionV>
                <wp:extent cx="2240280" cy="784860"/>
                <wp:effectExtent l="19050" t="19050" r="26670" b="15240"/>
                <wp:wrapSquare wrapText="bothSides"/>
                <wp:docPr id="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78486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77B90569" w14:textId="77777777" w:rsidR="00206200" w:rsidRPr="003B1178" w:rsidRDefault="00206200" w:rsidP="007E6B09">
                            <w:pPr>
                              <w:shd w:val="clear" w:color="auto" w:fill="C48B01" w:themeFill="accent2" w:themeFillShade="BF"/>
                              <w:spacing w:line="180" w:lineRule="auto"/>
                              <w:jc w:val="center"/>
                              <w:rPr>
                                <w:rFonts w:ascii="Browallia New" w:hAnsi="Browallia New" w:cs="Browallia New"/>
                                <w:b/>
                                <w:i/>
                                <w:iCs/>
                                <w:color w:val="232D46" w:themeColor="accent6" w:themeShade="80"/>
                                <w:sz w:val="24"/>
                                <w:szCs w:val="24"/>
                              </w:rPr>
                            </w:pPr>
                            <w:r w:rsidRPr="003B1178">
                              <w:rPr>
                                <w:rFonts w:ascii="Browallia New" w:hAnsi="Browallia New" w:cs="Browallia New"/>
                                <w:b/>
                                <w:iCs/>
                                <w:color w:val="232D46" w:themeColor="accent6" w:themeShade="80"/>
                                <w:sz w:val="24"/>
                                <w:szCs w:val="24"/>
                              </w:rPr>
                              <w:t>About one-third of organizations in our survey do no or only minimal formal assessments of strategic, market, or industry risks</w:t>
                            </w:r>
                            <w:r w:rsidRPr="003B1178">
                              <w:rPr>
                                <w:rFonts w:ascii="Browallia New" w:hAnsi="Browallia New" w:cs="Browallia New"/>
                                <w:b/>
                                <w:i/>
                                <w:iCs/>
                                <w:color w:val="232D46" w:themeColor="accent6" w:themeShade="80"/>
                                <w:sz w:val="24"/>
                                <w:szCs w:val="24"/>
                              </w:rPr>
                              <w:t>.</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501CCF" id="AutoShape 114" o:spid="_x0000_s1034" style="position:absolute;left:0;text-align:left;margin-left:0;margin-top:331.8pt;width:176.4pt;height:61.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" o:allowincell="f" fillcolor="#c48b01 [2405]" strokecolor="#1a6da6" strokeweight="3pt">
                <v:textbox inset="3.6pt,,3.6pt">
                  <w:txbxContent>
                    <w:p w14:paraId="77B90569" w14:textId="77777777" w:rsidR="00206200" w:rsidRPr="003B1178" w:rsidRDefault="00206200" w:rsidP="007E6B09">
                      <w:pPr>
                        <w:shd w:val="clear" w:color="auto" w:fill="C48B01" w:themeFill="accent2" w:themeFillShade="BF"/>
                        <w:spacing w:line="180" w:lineRule="auto"/>
                        <w:jc w:val="center"/>
                        <w:rPr>
                          <w:rFonts w:ascii="Browallia New" w:hAnsi="Browallia New" w:cs="Browallia New"/>
                          <w:b/>
                          <w:i/>
                          <w:iCs/>
                          <w:color w:val="232D46" w:themeColor="accent6" w:themeShade="80"/>
                          <w:sz w:val="24"/>
                          <w:szCs w:val="24"/>
                        </w:rPr>
                      </w:pPr>
                      <w:r w:rsidRPr="003B1178">
                        <w:rPr>
                          <w:rFonts w:ascii="Browallia New" w:hAnsi="Browallia New" w:cs="Browallia New"/>
                          <w:b/>
                          <w:iCs/>
                          <w:color w:val="232D46" w:themeColor="accent6" w:themeShade="80"/>
                          <w:sz w:val="24"/>
                          <w:szCs w:val="24"/>
                        </w:rPr>
                        <w:t>About one-third of organizations in our survey do no or only minimal formal assessments of strategic, market, or industry risks</w:t>
                      </w:r>
                      <w:r w:rsidRPr="003B1178">
                        <w:rPr>
                          <w:rFonts w:ascii="Browallia New" w:hAnsi="Browallia New" w:cs="Browallia New"/>
                          <w:b/>
                          <w:i/>
                          <w:iCs/>
                          <w:color w:val="232D46" w:themeColor="accent6" w:themeShade="80"/>
                          <w:sz w:val="24"/>
                          <w:szCs w:val="24"/>
                        </w:rPr>
                        <w:t>.</w:t>
                      </w:r>
                    </w:p>
                  </w:txbxContent>
                </v:textbox>
                <w10:wrap type="square" anchorx="margin" anchory="margin"/>
              </v:roundrect>
            </w:pict>
          </mc:Fallback>
        </mc:AlternateContent>
      </w:r>
      <w:r w:rsidR="005B3E7A" w:rsidRPr="00B57E24">
        <w:rPr>
          <w:rFonts w:ascii="Browallia New" w:hAnsi="Browallia New" w:cs="Browallia New"/>
          <w:sz w:val="28"/>
          <w:szCs w:val="28"/>
        </w:rPr>
        <w:t>We found that 3</w:t>
      </w:r>
      <w:r w:rsidR="007E6B09" w:rsidRPr="00B57E24">
        <w:rPr>
          <w:rFonts w:ascii="Browallia New" w:hAnsi="Browallia New" w:cs="Browallia New"/>
          <w:sz w:val="28"/>
          <w:szCs w:val="28"/>
        </w:rPr>
        <w:t>2</w:t>
      </w:r>
      <w:r w:rsidR="005B3E7A" w:rsidRPr="00B57E24">
        <w:rPr>
          <w:rFonts w:ascii="Browallia New" w:hAnsi="Browallia New" w:cs="Browallia New"/>
          <w:sz w:val="28"/>
          <w:szCs w:val="28"/>
        </w:rPr>
        <w:t xml:space="preserve">% of organizations in our full sample currently do only minimal or no formal assessments of emerging strategic, market, or industry risks. The lack of these emerging risk assessments is greatest for </w:t>
      </w:r>
      <w:proofErr w:type="gramStart"/>
      <w:r w:rsidR="005B3E7A" w:rsidRPr="00B57E24">
        <w:rPr>
          <w:rFonts w:ascii="Browallia New" w:hAnsi="Browallia New" w:cs="Browallia New"/>
          <w:sz w:val="28"/>
          <w:szCs w:val="28"/>
        </w:rPr>
        <w:t>not-for</w:t>
      </w:r>
      <w:proofErr w:type="gramEnd"/>
      <w:r w:rsidR="005B3E7A" w:rsidRPr="00B57E24">
        <w:rPr>
          <w:rFonts w:ascii="Browallia New" w:hAnsi="Browallia New" w:cs="Browallia New"/>
          <w:sz w:val="28"/>
          <w:szCs w:val="28"/>
        </w:rPr>
        <w:t xml:space="preserve">-profit organizations where we found that </w:t>
      </w:r>
      <w:r w:rsidR="00E266AE">
        <w:rPr>
          <w:rFonts w:ascii="Browallia New" w:hAnsi="Browallia New" w:cs="Browallia New"/>
          <w:sz w:val="28"/>
          <w:szCs w:val="28"/>
        </w:rPr>
        <w:t>39</w:t>
      </w:r>
      <w:r w:rsidR="005B3E7A" w:rsidRPr="00B57E24">
        <w:rPr>
          <w:rFonts w:ascii="Browallia New" w:hAnsi="Browallia New" w:cs="Browallia New"/>
          <w:sz w:val="28"/>
          <w:szCs w:val="28"/>
        </w:rPr>
        <w:t xml:space="preserve">% of those organizations have no formal assessments of those types of risks. The largest organizations, public companies, and financial services organizations are much more likely to consider emerging strategic, market, and industry risks, where only </w:t>
      </w:r>
      <w:r w:rsidR="007E6B09" w:rsidRPr="00B57E24">
        <w:rPr>
          <w:rFonts w:ascii="Browallia New" w:hAnsi="Browallia New" w:cs="Browallia New"/>
          <w:sz w:val="28"/>
          <w:szCs w:val="28"/>
        </w:rPr>
        <w:t>18</w:t>
      </w:r>
      <w:r w:rsidR="005B3E7A" w:rsidRPr="00B57E24">
        <w:rPr>
          <w:rFonts w:ascii="Browallia New" w:hAnsi="Browallia New" w:cs="Browallia New"/>
          <w:sz w:val="28"/>
          <w:szCs w:val="28"/>
        </w:rPr>
        <w:t>%, 1</w:t>
      </w:r>
      <w:r w:rsidR="007E6B09" w:rsidRPr="00B57E24">
        <w:rPr>
          <w:rFonts w:ascii="Browallia New" w:hAnsi="Browallia New" w:cs="Browallia New"/>
          <w:sz w:val="28"/>
          <w:szCs w:val="28"/>
        </w:rPr>
        <w:t>5</w:t>
      </w:r>
      <w:r w:rsidR="005B3E7A" w:rsidRPr="00B57E24">
        <w:rPr>
          <w:rFonts w:ascii="Browallia New" w:hAnsi="Browallia New" w:cs="Browallia New"/>
          <w:sz w:val="28"/>
          <w:szCs w:val="28"/>
        </w:rPr>
        <w:t xml:space="preserve">%, and </w:t>
      </w:r>
      <w:r w:rsidR="007E6B09" w:rsidRPr="00B57E24">
        <w:rPr>
          <w:rFonts w:ascii="Browallia New" w:hAnsi="Browallia New" w:cs="Browallia New"/>
          <w:sz w:val="28"/>
          <w:szCs w:val="28"/>
        </w:rPr>
        <w:t>17</w:t>
      </w:r>
      <w:r w:rsidR="005B3E7A" w:rsidRPr="00B57E24">
        <w:rPr>
          <w:rFonts w:ascii="Browallia New" w:hAnsi="Browallia New" w:cs="Browallia New"/>
          <w:sz w:val="28"/>
          <w:szCs w:val="28"/>
        </w:rPr>
        <w:t xml:space="preserve">% of those organizations, respectively, </w:t>
      </w:r>
      <w:r w:rsidR="007E6B09" w:rsidRPr="00B57E24">
        <w:rPr>
          <w:rFonts w:ascii="Browallia New" w:hAnsi="Browallia New" w:cs="Browallia New"/>
          <w:sz w:val="28"/>
          <w:szCs w:val="28"/>
        </w:rPr>
        <w:t xml:space="preserve">signaled that they </w:t>
      </w:r>
      <w:r w:rsidR="005B3E7A" w:rsidRPr="00B57E24">
        <w:rPr>
          <w:rFonts w:ascii="Browallia New" w:hAnsi="Browallia New" w:cs="Browallia New"/>
          <w:sz w:val="28"/>
          <w:szCs w:val="28"/>
        </w:rPr>
        <w:t xml:space="preserve">have no or only minimal formal assessments of these kinds of emerging risks.   </w:t>
      </w:r>
    </w:p>
    <w:p w14:paraId="178822C8" w14:textId="77777777" w:rsidR="005B3E7A" w:rsidRPr="00B57E24" w:rsidRDefault="007E6B0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When organizations formally assess risks,</w:t>
      </w:r>
      <w:r w:rsidR="005B3E7A" w:rsidRPr="00B57E24">
        <w:rPr>
          <w:rFonts w:ascii="Browallia New" w:hAnsi="Browallia New" w:cs="Browallia New"/>
          <w:sz w:val="28"/>
          <w:szCs w:val="28"/>
        </w:rPr>
        <w:t xml:space="preserve"> most do so in a predominantly qualitative (</w:t>
      </w:r>
      <w:r w:rsidRPr="00B57E24">
        <w:rPr>
          <w:rFonts w:ascii="Browallia New" w:hAnsi="Browallia New" w:cs="Browallia New"/>
          <w:sz w:val="28"/>
          <w:szCs w:val="28"/>
        </w:rPr>
        <w:t>17</w:t>
      </w:r>
      <w:r w:rsidR="005B3E7A" w:rsidRPr="00B57E24">
        <w:rPr>
          <w:rFonts w:ascii="Browallia New" w:hAnsi="Browallia New" w:cs="Browallia New"/>
          <w:sz w:val="28"/>
          <w:szCs w:val="28"/>
        </w:rPr>
        <w:t>%) manner or by using a blend of qualitative and quantitative assessment tools (54%). This dominance of a qualitative approach holds true for the subgroups (largest organizations, public companies, and financial services firms) as well.</w:t>
      </w:r>
    </w:p>
    <w:p w14:paraId="5CAB1D22" w14:textId="77777777" w:rsidR="00BE07C9" w:rsidRPr="00B57E24"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Even though </w:t>
      </w:r>
      <w:proofErr w:type="gramStart"/>
      <w:r w:rsidRPr="00B57E24">
        <w:rPr>
          <w:rFonts w:ascii="Browallia New" w:hAnsi="Browallia New" w:cs="Browallia New"/>
          <w:sz w:val="28"/>
          <w:szCs w:val="28"/>
        </w:rPr>
        <w:t>the majority of</w:t>
      </w:r>
      <w:proofErr w:type="gramEnd"/>
      <w:r w:rsidRPr="00B57E24">
        <w:rPr>
          <w:rFonts w:ascii="Browallia New" w:hAnsi="Browallia New" w:cs="Browallia New"/>
          <w:sz w:val="28"/>
          <w:szCs w:val="28"/>
        </w:rPr>
        <w:t xml:space="preserve"> organizations appear to be </w:t>
      </w:r>
      <w:proofErr w:type="gramStart"/>
      <w:r w:rsidRPr="00B57E24">
        <w:rPr>
          <w:rFonts w:ascii="Browallia New" w:hAnsi="Browallia New" w:cs="Browallia New"/>
          <w:sz w:val="28"/>
          <w:szCs w:val="28"/>
        </w:rPr>
        <w:t>fairly unstructured</w:t>
      </w:r>
      <w:proofErr w:type="gramEnd"/>
      <w:r w:rsidRPr="00B57E24">
        <w:rPr>
          <w:rFonts w:ascii="Browallia New" w:hAnsi="Browallia New" w:cs="Browallia New"/>
          <w:sz w:val="28"/>
          <w:szCs w:val="28"/>
        </w:rPr>
        <w:t xml:space="preserve">, casual, and somewhat </w:t>
      </w:r>
      <w:r w:rsidRPr="00B57E24">
        <w:rPr>
          <w:rFonts w:ascii="Browallia New" w:hAnsi="Browallia New" w:cs="Browallia New"/>
          <w:i/>
          <w:sz w:val="28"/>
          <w:szCs w:val="28"/>
        </w:rPr>
        <w:t>ad hoc</w:t>
      </w:r>
      <w:r w:rsidRPr="00B57E24">
        <w:rPr>
          <w:rFonts w:ascii="Browallia New" w:hAnsi="Browallia New" w:cs="Browallia New"/>
          <w:sz w:val="28"/>
          <w:szCs w:val="28"/>
        </w:rPr>
        <w:t xml:space="preserve"> in how they identify, assess, and monitor key risk exposures, responses to several questions indicate a high level of confidence that risks are being strategically managed in an effective manner. We asked several questions to gain a sense for how risk exposures are integrated into an organization’s strategy execution. Almost half (</w:t>
      </w:r>
      <w:r w:rsidR="007E6B09" w:rsidRPr="00B57E24">
        <w:rPr>
          <w:rFonts w:ascii="Browallia New" w:hAnsi="Browallia New" w:cs="Browallia New"/>
          <w:sz w:val="28"/>
          <w:szCs w:val="28"/>
        </w:rPr>
        <w:t>41</w:t>
      </w:r>
      <w:r w:rsidRPr="00B57E24">
        <w:rPr>
          <w:rFonts w:ascii="Browallia New" w:hAnsi="Browallia New" w:cs="Browallia New"/>
          <w:sz w:val="28"/>
          <w:szCs w:val="28"/>
        </w:rPr>
        <w:t xml:space="preserve">%) of our respondents believe that existing risk exposures are considered “mostly” or “extensively” when evaluating possible new strategic initiatives and </w:t>
      </w:r>
      <w:r w:rsidR="007E6B09" w:rsidRPr="00B57E24">
        <w:rPr>
          <w:rFonts w:ascii="Browallia New" w:hAnsi="Browallia New" w:cs="Browallia New"/>
          <w:sz w:val="28"/>
          <w:szCs w:val="28"/>
        </w:rPr>
        <w:t>about 30%</w:t>
      </w:r>
      <w:r w:rsidRPr="00B57E24">
        <w:rPr>
          <w:rFonts w:ascii="Browallia New" w:hAnsi="Browallia New" w:cs="Browallia New"/>
          <w:sz w:val="28"/>
          <w:szCs w:val="28"/>
        </w:rPr>
        <w:t xml:space="preserve"> of the respondents believe that their organization has articulated its appetite for or tolerance of risks in the context of strategic planning “mostly” or “extensively.” In addition, </w:t>
      </w:r>
      <w:r w:rsidR="00BE07C9" w:rsidRPr="00B57E24">
        <w:rPr>
          <w:rFonts w:ascii="Browallia New" w:hAnsi="Browallia New" w:cs="Browallia New"/>
          <w:sz w:val="28"/>
          <w:szCs w:val="28"/>
        </w:rPr>
        <w:t>31</w:t>
      </w:r>
      <w:r w:rsidRPr="00B57E24">
        <w:rPr>
          <w:rFonts w:ascii="Browallia New" w:hAnsi="Browallia New" w:cs="Browallia New"/>
          <w:sz w:val="28"/>
          <w:szCs w:val="28"/>
        </w:rPr>
        <w:t xml:space="preserve">% of the respondents indicate that risk exposures are considered “mostly” or “extensively” when making capital allocations to functional units. </w:t>
      </w:r>
    </w:p>
    <w:p w14:paraId="2B899052" w14:textId="77777777" w:rsidR="00BE07C9" w:rsidRDefault="00BE07C9" w:rsidP="00B57E24">
      <w:pPr>
        <w:spacing w:line="204" w:lineRule="auto"/>
        <w:rPr>
          <w:rFonts w:ascii="Browallia New" w:hAnsi="Browallia New" w:cs="Browallia New"/>
          <w:sz w:val="28"/>
          <w:szCs w:val="28"/>
        </w:rPr>
      </w:pPr>
      <w:r w:rsidRPr="00B57E24">
        <w:rPr>
          <w:rFonts w:ascii="Browallia New" w:hAnsi="Browallia New" w:cs="Browallia New"/>
          <w:sz w:val="28"/>
          <w:szCs w:val="28"/>
        </w:rPr>
        <w:br w:type="page"/>
      </w:r>
    </w:p>
    <w:p w14:paraId="19E2E891" w14:textId="089545EA" w:rsidR="00F6494D" w:rsidRPr="00F6494D" w:rsidRDefault="00F6494D" w:rsidP="00B57E24">
      <w:pPr>
        <w:spacing w:line="204" w:lineRule="auto"/>
        <w:rPr>
          <w:rStyle w:val="IntenseReference"/>
          <w:color w:val="auto"/>
        </w:rPr>
      </w:pPr>
      <w:r w:rsidRPr="00F6494D">
        <w:rPr>
          <w:rStyle w:val="IntenseReference"/>
          <w:color w:val="auto"/>
        </w:rPr>
        <w:lastRenderedPageBreak/>
        <w:t>Percentage of Respondents Saying “Mostly” or “Extensively”</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967"/>
        <w:gridCol w:w="1643"/>
        <w:gridCol w:w="1350"/>
        <w:gridCol w:w="1417"/>
        <w:gridCol w:w="1481"/>
      </w:tblGrid>
      <w:tr w:rsidR="00BA4A64" w:rsidRPr="00F46D57" w14:paraId="20BEEBDE"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6A6A6" w:themeFill="background1" w:themeFillShade="A6"/>
          </w:tcPr>
          <w:p w14:paraId="5FEFD6C2" w14:textId="77777777" w:rsidR="00BE07C9" w:rsidRPr="003B1178" w:rsidRDefault="00BE07C9" w:rsidP="00BE07C9">
            <w:pPr>
              <w:spacing w:line="192" w:lineRule="auto"/>
              <w:rPr>
                <w:rFonts w:ascii="Browallia New" w:hAnsi="Browallia New" w:cs="Browallia New"/>
                <w:color w:val="auto"/>
              </w:rPr>
            </w:pPr>
          </w:p>
          <w:p w14:paraId="0F0EB0FD" w14:textId="77777777" w:rsidR="00BE07C9" w:rsidRPr="003B1178" w:rsidRDefault="00BE07C9" w:rsidP="00BE07C9">
            <w:pPr>
              <w:spacing w:line="192" w:lineRule="auto"/>
              <w:rPr>
                <w:rFonts w:ascii="Browallia New" w:hAnsi="Browallia New" w:cs="Browallia New"/>
                <w:color w:val="auto"/>
              </w:rPr>
            </w:pPr>
          </w:p>
          <w:p w14:paraId="41A88B96" w14:textId="77777777" w:rsidR="00BA4A64" w:rsidRPr="003B1178" w:rsidRDefault="00BA4A64" w:rsidP="00BE07C9">
            <w:pPr>
              <w:spacing w:line="192" w:lineRule="auto"/>
              <w:rPr>
                <w:rFonts w:ascii="Browallia New" w:hAnsi="Browallia New" w:cs="Browallia New"/>
                <w:color w:val="auto"/>
                <w:u w:val="single"/>
              </w:rPr>
            </w:pPr>
            <w:r w:rsidRPr="003B1178">
              <w:rPr>
                <w:rFonts w:ascii="Browallia New" w:hAnsi="Browallia New" w:cs="Browallia New"/>
                <w:color w:val="auto"/>
                <w:u w:val="single"/>
              </w:rPr>
              <w:t xml:space="preserve">Extent </w:t>
            </w:r>
            <w:r w:rsidR="00BE600B" w:rsidRPr="003B1178">
              <w:rPr>
                <w:rFonts w:ascii="Browallia New" w:hAnsi="Browallia New" w:cs="Browallia New"/>
                <w:color w:val="auto"/>
                <w:u w:val="single"/>
              </w:rPr>
              <w:t>that</w:t>
            </w:r>
          </w:p>
        </w:tc>
        <w:tc>
          <w:tcPr>
            <w:tcW w:w="967" w:type="dxa"/>
            <w:shd w:val="clear" w:color="auto" w:fill="A6A6A6" w:themeFill="background1" w:themeFillShade="A6"/>
          </w:tcPr>
          <w:p w14:paraId="79FFE3BD"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8D0B93A"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2A5ED1BE"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643" w:type="dxa"/>
            <w:shd w:val="clear" w:color="auto" w:fill="A6A6A6" w:themeFill="background1" w:themeFillShade="A6"/>
          </w:tcPr>
          <w:p w14:paraId="12A1408A"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Largest Organizations</w:t>
            </w:r>
          </w:p>
          <w:p w14:paraId="4F35B1CB"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(Revenues &gt;$1B)</w:t>
            </w:r>
          </w:p>
        </w:tc>
        <w:tc>
          <w:tcPr>
            <w:tcW w:w="1350" w:type="dxa"/>
            <w:shd w:val="clear" w:color="auto" w:fill="A6A6A6" w:themeFill="background1" w:themeFillShade="A6"/>
          </w:tcPr>
          <w:p w14:paraId="59F29368"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A0DF4BE"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417" w:type="dxa"/>
            <w:shd w:val="clear" w:color="auto" w:fill="A6A6A6" w:themeFill="background1" w:themeFillShade="A6"/>
          </w:tcPr>
          <w:p w14:paraId="1472EF73"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858BAC3"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1F019638"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481" w:type="dxa"/>
            <w:shd w:val="clear" w:color="auto" w:fill="A6A6A6" w:themeFill="background1" w:themeFillShade="A6"/>
          </w:tcPr>
          <w:p w14:paraId="1AECB1D8"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056F7A99" w14:textId="77777777" w:rsidR="00BA4A64" w:rsidRPr="003B1178" w:rsidRDefault="00BA4A64"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BA4A64" w:rsidRPr="00F46D57" w14:paraId="7DA01CB9"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none" w:sz="0" w:space="0" w:color="auto"/>
              <w:left w:val="none" w:sz="0" w:space="0" w:color="auto"/>
              <w:bottom w:val="none" w:sz="0" w:space="0" w:color="auto"/>
            </w:tcBorders>
            <w:shd w:val="clear" w:color="auto" w:fill="FFFFFF" w:themeFill="background1"/>
          </w:tcPr>
          <w:p w14:paraId="576B6489" w14:textId="77777777" w:rsidR="00BE07C9" w:rsidRPr="003B1178" w:rsidRDefault="00BE07C9" w:rsidP="00BE07C9">
            <w:pPr>
              <w:spacing w:line="192" w:lineRule="auto"/>
              <w:rPr>
                <w:rFonts w:ascii="Browallia New" w:hAnsi="Browallia New" w:cs="Browallia New"/>
              </w:rPr>
            </w:pPr>
          </w:p>
          <w:p w14:paraId="4DFCC126" w14:textId="77777777" w:rsidR="00BA4A64" w:rsidRPr="003B1178" w:rsidRDefault="00BA4A64" w:rsidP="00BE07C9">
            <w:pPr>
              <w:spacing w:line="192" w:lineRule="auto"/>
              <w:rPr>
                <w:rFonts w:ascii="Browallia New" w:hAnsi="Browallia New" w:cs="Browallia New"/>
              </w:rPr>
            </w:pPr>
            <w:r w:rsidRPr="003B1178">
              <w:rPr>
                <w:rFonts w:ascii="Browallia New" w:hAnsi="Browallia New" w:cs="Browallia New"/>
              </w:rPr>
              <w:t>Existing risk exposures are considered when evaluating possible new strategic initiatives</w:t>
            </w:r>
          </w:p>
          <w:p w14:paraId="748A9F6D" w14:textId="77777777" w:rsidR="00BE07C9" w:rsidRPr="003B1178" w:rsidRDefault="00BE07C9" w:rsidP="00BE07C9">
            <w:pPr>
              <w:spacing w:line="192" w:lineRule="auto"/>
              <w:rPr>
                <w:rFonts w:ascii="Browallia New" w:hAnsi="Browallia New" w:cs="Browallia New"/>
              </w:rPr>
            </w:pPr>
          </w:p>
        </w:tc>
        <w:tc>
          <w:tcPr>
            <w:tcW w:w="967" w:type="dxa"/>
            <w:tcBorders>
              <w:top w:val="none" w:sz="0" w:space="0" w:color="auto"/>
              <w:bottom w:val="none" w:sz="0" w:space="0" w:color="auto"/>
            </w:tcBorders>
            <w:shd w:val="clear" w:color="auto" w:fill="FFFFFF" w:themeFill="background1"/>
          </w:tcPr>
          <w:p w14:paraId="05130386" w14:textId="77777777" w:rsidR="00BE07C9" w:rsidRPr="003B1178" w:rsidRDefault="00BE07C9"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57AE6F3" w14:textId="77777777" w:rsidR="00BA4A64" w:rsidRPr="003B1178" w:rsidRDefault="00527C11"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w:t>
            </w:r>
            <w:r w:rsidR="00BE07C9" w:rsidRPr="003B1178">
              <w:rPr>
                <w:rFonts w:ascii="Browallia New" w:hAnsi="Browallia New" w:cs="Browallia New"/>
                <w:b/>
              </w:rPr>
              <w:t>1</w:t>
            </w:r>
            <w:r w:rsidRPr="003B1178">
              <w:rPr>
                <w:rFonts w:ascii="Browallia New" w:hAnsi="Browallia New" w:cs="Browallia New"/>
                <w:b/>
              </w:rPr>
              <w:t>%</w:t>
            </w:r>
          </w:p>
        </w:tc>
        <w:tc>
          <w:tcPr>
            <w:tcW w:w="1643" w:type="dxa"/>
            <w:tcBorders>
              <w:top w:val="none" w:sz="0" w:space="0" w:color="auto"/>
              <w:bottom w:val="none" w:sz="0" w:space="0" w:color="auto"/>
            </w:tcBorders>
            <w:shd w:val="clear" w:color="auto" w:fill="FFFFFF" w:themeFill="background1"/>
          </w:tcPr>
          <w:p w14:paraId="16FAC5C2" w14:textId="77777777" w:rsidR="00BE07C9" w:rsidRPr="003B1178" w:rsidRDefault="00BE07C9"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D814FE9" w14:textId="77777777" w:rsidR="00BA4A64" w:rsidRPr="003B1178" w:rsidRDefault="00527C11"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38%</w:t>
            </w:r>
          </w:p>
        </w:tc>
        <w:tc>
          <w:tcPr>
            <w:tcW w:w="1350" w:type="dxa"/>
            <w:tcBorders>
              <w:top w:val="none" w:sz="0" w:space="0" w:color="auto"/>
              <w:bottom w:val="none" w:sz="0" w:space="0" w:color="auto"/>
            </w:tcBorders>
            <w:shd w:val="clear" w:color="auto" w:fill="FFFFFF" w:themeFill="background1"/>
          </w:tcPr>
          <w:p w14:paraId="54E36C78" w14:textId="77777777" w:rsidR="00BE07C9" w:rsidRPr="003B1178" w:rsidRDefault="00BE07C9"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33C514BB" w14:textId="77777777" w:rsidR="00BA4A64" w:rsidRPr="003B1178" w:rsidRDefault="00527C11"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47%</w:t>
            </w:r>
          </w:p>
        </w:tc>
        <w:tc>
          <w:tcPr>
            <w:tcW w:w="1417" w:type="dxa"/>
            <w:tcBorders>
              <w:top w:val="none" w:sz="0" w:space="0" w:color="auto"/>
              <w:bottom w:val="none" w:sz="0" w:space="0" w:color="auto"/>
            </w:tcBorders>
            <w:shd w:val="clear" w:color="auto" w:fill="FFFFFF" w:themeFill="background1"/>
          </w:tcPr>
          <w:p w14:paraId="2AB91B4F" w14:textId="77777777" w:rsidR="00BE07C9" w:rsidRPr="003B1178" w:rsidRDefault="00BE07C9"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1A596338" w14:textId="77777777" w:rsidR="00BA4A64" w:rsidRPr="003B1178" w:rsidRDefault="00D9156B"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51%</w:t>
            </w:r>
          </w:p>
        </w:tc>
        <w:tc>
          <w:tcPr>
            <w:tcW w:w="1481" w:type="dxa"/>
            <w:tcBorders>
              <w:top w:val="none" w:sz="0" w:space="0" w:color="auto"/>
              <w:bottom w:val="none" w:sz="0" w:space="0" w:color="auto"/>
              <w:right w:val="none" w:sz="0" w:space="0" w:color="auto"/>
            </w:tcBorders>
            <w:shd w:val="clear" w:color="auto" w:fill="FFFFFF" w:themeFill="background1"/>
          </w:tcPr>
          <w:p w14:paraId="724013B0" w14:textId="77777777" w:rsidR="00BE07C9" w:rsidRPr="003B1178" w:rsidRDefault="00BE07C9"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1F40378F" w14:textId="77777777" w:rsidR="00BA4A64" w:rsidRPr="003B1178" w:rsidRDefault="00D9156B"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44%</w:t>
            </w:r>
          </w:p>
        </w:tc>
      </w:tr>
      <w:tr w:rsidR="00BA4A64" w:rsidRPr="00F46D57" w14:paraId="671CFAC1" w14:textId="77777777" w:rsidTr="00F6494D">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027AD2C2" w14:textId="77777777" w:rsidR="00BA4A64" w:rsidRPr="003B1178" w:rsidRDefault="00BA4A64" w:rsidP="00BE07C9">
            <w:pPr>
              <w:spacing w:line="192" w:lineRule="auto"/>
              <w:rPr>
                <w:rFonts w:ascii="Browallia New" w:hAnsi="Browallia New" w:cs="Browallia New"/>
              </w:rPr>
            </w:pPr>
            <w:r w:rsidRPr="003B1178">
              <w:rPr>
                <w:rFonts w:ascii="Browallia New" w:hAnsi="Browallia New" w:cs="Browallia New"/>
              </w:rPr>
              <w:t>Organization has articulated its appetite for or tolerance of risks in the context of strategic planning</w:t>
            </w:r>
          </w:p>
          <w:p w14:paraId="3CF3FF2B" w14:textId="77777777" w:rsidR="00BE07C9" w:rsidRPr="003B1178" w:rsidRDefault="00BE07C9" w:rsidP="00BE07C9">
            <w:pPr>
              <w:spacing w:line="192" w:lineRule="auto"/>
              <w:rPr>
                <w:rFonts w:ascii="Browallia New" w:hAnsi="Browallia New" w:cs="Browallia New"/>
              </w:rPr>
            </w:pPr>
          </w:p>
        </w:tc>
        <w:tc>
          <w:tcPr>
            <w:tcW w:w="967" w:type="dxa"/>
            <w:shd w:val="clear" w:color="auto" w:fill="FFFFFF" w:themeFill="background1"/>
          </w:tcPr>
          <w:p w14:paraId="7790F248" w14:textId="77777777" w:rsidR="00BA4A64" w:rsidRPr="003B1178" w:rsidRDefault="00527C11"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29%</w:t>
            </w:r>
          </w:p>
        </w:tc>
        <w:tc>
          <w:tcPr>
            <w:tcW w:w="1643" w:type="dxa"/>
            <w:shd w:val="clear" w:color="auto" w:fill="FFFFFF" w:themeFill="background1"/>
          </w:tcPr>
          <w:p w14:paraId="0EABA6F3" w14:textId="77777777" w:rsidR="00BA4A64" w:rsidRPr="003B1178" w:rsidRDefault="00527C11"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32%</w:t>
            </w:r>
          </w:p>
        </w:tc>
        <w:tc>
          <w:tcPr>
            <w:tcW w:w="1350" w:type="dxa"/>
            <w:shd w:val="clear" w:color="auto" w:fill="FFFFFF" w:themeFill="background1"/>
          </w:tcPr>
          <w:p w14:paraId="6A30763E" w14:textId="77777777" w:rsidR="00BA4A64" w:rsidRPr="003B1178" w:rsidRDefault="00527C11"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38%</w:t>
            </w:r>
          </w:p>
        </w:tc>
        <w:tc>
          <w:tcPr>
            <w:tcW w:w="1417" w:type="dxa"/>
            <w:shd w:val="clear" w:color="auto" w:fill="FFFFFF" w:themeFill="background1"/>
          </w:tcPr>
          <w:p w14:paraId="60350AAE" w14:textId="77777777" w:rsidR="00BA4A64" w:rsidRPr="003B1178" w:rsidRDefault="00D9156B"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47%</w:t>
            </w:r>
          </w:p>
        </w:tc>
        <w:tc>
          <w:tcPr>
            <w:tcW w:w="1481" w:type="dxa"/>
            <w:shd w:val="clear" w:color="auto" w:fill="FFFFFF" w:themeFill="background1"/>
          </w:tcPr>
          <w:p w14:paraId="6DE78D19" w14:textId="77777777" w:rsidR="00BA4A64" w:rsidRPr="003B1178" w:rsidRDefault="00D9156B"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21%</w:t>
            </w:r>
          </w:p>
        </w:tc>
      </w:tr>
      <w:tr w:rsidR="00BA4A64" w:rsidRPr="00F46D57" w14:paraId="42745CDB"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none" w:sz="0" w:space="0" w:color="auto"/>
              <w:left w:val="none" w:sz="0" w:space="0" w:color="auto"/>
              <w:bottom w:val="none" w:sz="0" w:space="0" w:color="auto"/>
            </w:tcBorders>
            <w:shd w:val="clear" w:color="auto" w:fill="FFFFFF" w:themeFill="background1"/>
          </w:tcPr>
          <w:p w14:paraId="5DCCB5EC" w14:textId="77777777" w:rsidR="00BA4A64" w:rsidRPr="003B1178" w:rsidRDefault="00BA4A64" w:rsidP="00BE07C9">
            <w:pPr>
              <w:spacing w:line="192" w:lineRule="auto"/>
              <w:rPr>
                <w:rFonts w:ascii="Browallia New" w:hAnsi="Browallia New" w:cs="Browallia New"/>
              </w:rPr>
            </w:pPr>
            <w:r w:rsidRPr="003B1178">
              <w:rPr>
                <w:rFonts w:ascii="Browallia New" w:hAnsi="Browallia New" w:cs="Browallia New"/>
              </w:rPr>
              <w:t>Risk exposures are considered when making capital allocations to functional units</w:t>
            </w:r>
          </w:p>
        </w:tc>
        <w:tc>
          <w:tcPr>
            <w:tcW w:w="967" w:type="dxa"/>
            <w:tcBorders>
              <w:top w:val="none" w:sz="0" w:space="0" w:color="auto"/>
              <w:bottom w:val="none" w:sz="0" w:space="0" w:color="auto"/>
            </w:tcBorders>
            <w:shd w:val="clear" w:color="auto" w:fill="FFFFFF" w:themeFill="background1"/>
          </w:tcPr>
          <w:p w14:paraId="116C0996" w14:textId="77777777" w:rsidR="00BA4A64" w:rsidRPr="003B1178" w:rsidRDefault="00527C11"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c>
          <w:tcPr>
            <w:tcW w:w="1643" w:type="dxa"/>
            <w:tcBorders>
              <w:top w:val="none" w:sz="0" w:space="0" w:color="auto"/>
              <w:bottom w:val="none" w:sz="0" w:space="0" w:color="auto"/>
            </w:tcBorders>
            <w:shd w:val="clear" w:color="auto" w:fill="FFFFFF" w:themeFill="background1"/>
          </w:tcPr>
          <w:p w14:paraId="78B873B7" w14:textId="77777777" w:rsidR="00BA4A64" w:rsidRPr="003B1178" w:rsidRDefault="00527C11"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32%</w:t>
            </w:r>
          </w:p>
        </w:tc>
        <w:tc>
          <w:tcPr>
            <w:tcW w:w="1350" w:type="dxa"/>
            <w:tcBorders>
              <w:top w:val="none" w:sz="0" w:space="0" w:color="auto"/>
              <w:bottom w:val="none" w:sz="0" w:space="0" w:color="auto"/>
            </w:tcBorders>
            <w:shd w:val="clear" w:color="auto" w:fill="FFFFFF" w:themeFill="background1"/>
          </w:tcPr>
          <w:p w14:paraId="573C2479" w14:textId="77777777" w:rsidR="00BA4A64" w:rsidRPr="003B1178" w:rsidRDefault="00527C11"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40%</w:t>
            </w:r>
          </w:p>
        </w:tc>
        <w:tc>
          <w:tcPr>
            <w:tcW w:w="1417" w:type="dxa"/>
            <w:tcBorders>
              <w:top w:val="none" w:sz="0" w:space="0" w:color="auto"/>
              <w:bottom w:val="none" w:sz="0" w:space="0" w:color="auto"/>
            </w:tcBorders>
            <w:shd w:val="clear" w:color="auto" w:fill="FFFFFF" w:themeFill="background1"/>
          </w:tcPr>
          <w:p w14:paraId="39500C80" w14:textId="77777777" w:rsidR="00BA4A64" w:rsidRPr="003B1178" w:rsidRDefault="00D9156B"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c>
          <w:tcPr>
            <w:tcW w:w="1481" w:type="dxa"/>
            <w:tcBorders>
              <w:top w:val="none" w:sz="0" w:space="0" w:color="auto"/>
              <w:bottom w:val="none" w:sz="0" w:space="0" w:color="auto"/>
              <w:right w:val="none" w:sz="0" w:space="0" w:color="auto"/>
            </w:tcBorders>
            <w:shd w:val="clear" w:color="auto" w:fill="FFFFFF" w:themeFill="background1"/>
          </w:tcPr>
          <w:p w14:paraId="4EFC5C79" w14:textId="77777777" w:rsidR="00BA4A64" w:rsidRPr="003B1178" w:rsidRDefault="00D9156B"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r>
    </w:tbl>
    <w:p w14:paraId="051B21AB" w14:textId="77777777" w:rsidR="00BE600B" w:rsidRPr="00F46D57" w:rsidRDefault="00BE600B" w:rsidP="005B3E7A">
      <w:pPr>
        <w:jc w:val="both"/>
        <w:rPr>
          <w:rFonts w:ascii="Browallia New" w:hAnsi="Browallia New" w:cs="Browallia New"/>
        </w:rPr>
      </w:pPr>
    </w:p>
    <w:p w14:paraId="7CE74401" w14:textId="77777777" w:rsidR="005B3E7A" w:rsidRPr="00B57E24"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These results suggest that there is still opportunity for improvement in better integrating risk oversight with strategic planning. Given the importance of considering the relationship of risk and return, </w:t>
      </w:r>
      <w:proofErr w:type="gramStart"/>
      <w:r w:rsidRPr="00B57E24">
        <w:rPr>
          <w:rFonts w:ascii="Browallia New" w:hAnsi="Browallia New" w:cs="Browallia New"/>
          <w:sz w:val="28"/>
          <w:szCs w:val="28"/>
        </w:rPr>
        <w:t>it would seem that all</w:t>
      </w:r>
      <w:proofErr w:type="gramEnd"/>
      <w:r w:rsidRPr="00B57E24">
        <w:rPr>
          <w:rFonts w:ascii="Browallia New" w:hAnsi="Browallia New" w:cs="Browallia New"/>
          <w:sz w:val="28"/>
          <w:szCs w:val="28"/>
        </w:rPr>
        <w:t xml:space="preserve"> organizations should “extensively” consider existing risk exposures in the context of strategic planning. Similarly, </w:t>
      </w:r>
      <w:r w:rsidR="00857611">
        <w:rPr>
          <w:rFonts w:ascii="Browallia New" w:hAnsi="Browallia New" w:cs="Browallia New"/>
          <w:sz w:val="28"/>
          <w:szCs w:val="28"/>
        </w:rPr>
        <w:t>just under 3</w:t>
      </w:r>
      <w:r w:rsidR="00BE07C9" w:rsidRPr="00B57E24">
        <w:rPr>
          <w:rFonts w:ascii="Browallia New" w:hAnsi="Browallia New" w:cs="Browallia New"/>
          <w:sz w:val="28"/>
          <w:szCs w:val="28"/>
        </w:rPr>
        <w:t>0%</w:t>
      </w:r>
      <w:r w:rsidRPr="00B57E24">
        <w:rPr>
          <w:rFonts w:ascii="Browallia New" w:hAnsi="Browallia New" w:cs="Browallia New"/>
          <w:sz w:val="28"/>
          <w:szCs w:val="28"/>
        </w:rPr>
        <w:t xml:space="preserve"> of organizations in our full sample have not articulated an appetite for risk-taking in the context of strategic planning. Without doing so, how do boards and senior executives know whether the extent of risk-taking in the pursuit of strategic objectives is within the bounds of acceptability for key stakeholders?  </w:t>
      </w:r>
    </w:p>
    <w:p w14:paraId="4F28E4FB" w14:textId="77777777" w:rsidR="005B3E7A"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In a separate question, we asked about the extent that the board formally discusses the top risk exposures facing the organization when the board discusses the organization’s strategic plan. We found that </w:t>
      </w:r>
      <w:r w:rsidR="00BE07C9" w:rsidRPr="00B57E24">
        <w:rPr>
          <w:rFonts w:ascii="Browallia New" w:hAnsi="Browallia New" w:cs="Browallia New"/>
          <w:sz w:val="28"/>
          <w:szCs w:val="28"/>
        </w:rPr>
        <w:t>just under</w:t>
      </w:r>
      <w:r w:rsidRPr="00B57E24">
        <w:rPr>
          <w:rFonts w:ascii="Browallia New" w:hAnsi="Browallia New" w:cs="Browallia New"/>
          <w:sz w:val="28"/>
          <w:szCs w:val="28"/>
        </w:rPr>
        <w:t xml:space="preserve"> 30% indicated those discussions about top risk exposures in the context of strategic planning are “mostly” or “extensively.” When </w:t>
      </w:r>
      <w:proofErr w:type="gramStart"/>
      <w:r w:rsidRPr="00B57E24">
        <w:rPr>
          <w:rFonts w:ascii="Browallia New" w:hAnsi="Browallia New" w:cs="Browallia New"/>
          <w:sz w:val="28"/>
          <w:szCs w:val="28"/>
        </w:rPr>
        <w:t>we separately</w:t>
      </w:r>
      <w:proofErr w:type="gramEnd"/>
      <w:r w:rsidRPr="00B57E24">
        <w:rPr>
          <w:rFonts w:ascii="Browallia New" w:hAnsi="Browallia New" w:cs="Browallia New"/>
          <w:sz w:val="28"/>
          <w:szCs w:val="28"/>
        </w:rPr>
        <w:t xml:space="preserve"> analyzed this for the largest organizations, public companies, and financial services firms, we did find that those boards were somewhat more likely to integrate their discussions of the top risk exposures as part of their discussion of the organization’s strategic plan as documented in the table below.  </w:t>
      </w:r>
    </w:p>
    <w:p w14:paraId="2AA81055" w14:textId="4E6F594C" w:rsidR="00F6494D" w:rsidRPr="00F6494D" w:rsidRDefault="00F6494D" w:rsidP="00B57E24">
      <w:pPr>
        <w:spacing w:line="204" w:lineRule="auto"/>
        <w:jc w:val="both"/>
        <w:rPr>
          <w:rStyle w:val="IntenseReference"/>
          <w:color w:val="auto"/>
        </w:rPr>
      </w:pPr>
      <w:r w:rsidRPr="00F6494D">
        <w:rPr>
          <w:rStyle w:val="IntenseReference"/>
          <w:color w:val="auto"/>
        </w:rPr>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810"/>
        <w:gridCol w:w="1530"/>
        <w:gridCol w:w="1188"/>
        <w:gridCol w:w="1327"/>
        <w:gridCol w:w="1571"/>
      </w:tblGrid>
      <w:tr w:rsidR="005B3E7A" w:rsidRPr="00F46D57" w14:paraId="59C425EB"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A6A6A6" w:themeFill="background1" w:themeFillShade="A6"/>
          </w:tcPr>
          <w:p w14:paraId="3F967FA1" w14:textId="77777777" w:rsidR="005B3E7A" w:rsidRPr="003B1178" w:rsidRDefault="005B3E7A" w:rsidP="00BE07C9">
            <w:pPr>
              <w:spacing w:line="192" w:lineRule="auto"/>
              <w:rPr>
                <w:rFonts w:ascii="Browallia New" w:hAnsi="Browallia New" w:cs="Browallia New"/>
                <w:color w:val="auto"/>
              </w:rPr>
            </w:pPr>
            <w:r w:rsidRPr="003B1178">
              <w:rPr>
                <w:rFonts w:ascii="Browallia New" w:hAnsi="Browallia New" w:cs="Browallia New"/>
                <w:color w:val="auto"/>
              </w:rPr>
              <w:t xml:space="preserve">Extent to which top risk exposures are formally discussed by the Board of Directors when they discuss the </w:t>
            </w:r>
            <w:r w:rsidRPr="003B1178">
              <w:rPr>
                <w:rFonts w:ascii="Browallia New" w:hAnsi="Browallia New" w:cs="Browallia New"/>
                <w:color w:val="auto"/>
                <w:u w:val="single"/>
              </w:rPr>
              <w:t>organization’s strategic plan</w:t>
            </w:r>
          </w:p>
          <w:p w14:paraId="0BAB15FD" w14:textId="77777777" w:rsidR="00BE07C9" w:rsidRPr="003B1178" w:rsidRDefault="00BE07C9" w:rsidP="00BE07C9">
            <w:pPr>
              <w:spacing w:line="120" w:lineRule="auto"/>
              <w:rPr>
                <w:rFonts w:ascii="Browallia New" w:hAnsi="Browallia New" w:cs="Browallia New"/>
                <w:color w:val="auto"/>
                <w:sz w:val="16"/>
                <w:szCs w:val="16"/>
              </w:rPr>
            </w:pPr>
          </w:p>
        </w:tc>
        <w:tc>
          <w:tcPr>
            <w:tcW w:w="810" w:type="dxa"/>
            <w:shd w:val="clear" w:color="auto" w:fill="A6A6A6" w:themeFill="background1" w:themeFillShade="A6"/>
          </w:tcPr>
          <w:p w14:paraId="3D7754DD"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25FF86D7" w14:textId="77777777" w:rsidR="00BE07C9" w:rsidRPr="003B1178" w:rsidRDefault="00BE07C9"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56E4B6CD"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1F45C85E"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530" w:type="dxa"/>
            <w:shd w:val="clear" w:color="auto" w:fill="A6A6A6" w:themeFill="background1" w:themeFillShade="A6"/>
          </w:tcPr>
          <w:p w14:paraId="53247538" w14:textId="77777777" w:rsidR="00BE07C9" w:rsidRPr="003B1178" w:rsidRDefault="00BE07C9"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38B1D297"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Largest Organizations</w:t>
            </w:r>
          </w:p>
          <w:p w14:paraId="18E8BE41"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(Revenues &gt;$1B)</w:t>
            </w:r>
          </w:p>
        </w:tc>
        <w:tc>
          <w:tcPr>
            <w:tcW w:w="1188" w:type="dxa"/>
            <w:shd w:val="clear" w:color="auto" w:fill="A6A6A6" w:themeFill="background1" w:themeFillShade="A6"/>
          </w:tcPr>
          <w:p w14:paraId="33D77D76"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CF4D408" w14:textId="77777777" w:rsidR="00BE07C9" w:rsidRPr="003B1178" w:rsidRDefault="00BE07C9"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077731A5"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327" w:type="dxa"/>
            <w:shd w:val="clear" w:color="auto" w:fill="A6A6A6" w:themeFill="background1" w:themeFillShade="A6"/>
          </w:tcPr>
          <w:p w14:paraId="02B82870"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DF40B94" w14:textId="77777777" w:rsidR="00BE07C9" w:rsidRPr="003B1178" w:rsidRDefault="00BE07C9"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66D2421"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640FDE07"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71" w:type="dxa"/>
            <w:shd w:val="clear" w:color="auto" w:fill="A6A6A6" w:themeFill="background1" w:themeFillShade="A6"/>
          </w:tcPr>
          <w:p w14:paraId="4FC59CCA"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B1CE0F3" w14:textId="77777777" w:rsidR="00BE07C9" w:rsidRPr="003B1178" w:rsidRDefault="00BE07C9"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DEEB5E0" w14:textId="77777777" w:rsidR="005B3E7A" w:rsidRPr="003B1178" w:rsidRDefault="005B3E7A" w:rsidP="00BE07C9">
            <w:pPr>
              <w:spacing w:line="192"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5B3E7A" w:rsidRPr="00F46D57" w14:paraId="0A0DC91F"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left w:val="none" w:sz="0" w:space="0" w:color="auto"/>
              <w:bottom w:val="none" w:sz="0" w:space="0" w:color="auto"/>
            </w:tcBorders>
            <w:shd w:val="clear" w:color="auto" w:fill="FFFFFF" w:themeFill="background1"/>
          </w:tcPr>
          <w:p w14:paraId="54EF9684" w14:textId="77777777" w:rsidR="005B3E7A" w:rsidRPr="003B1178" w:rsidRDefault="005B3E7A" w:rsidP="00BE07C9">
            <w:pPr>
              <w:spacing w:line="192" w:lineRule="auto"/>
              <w:rPr>
                <w:rFonts w:ascii="Browallia New" w:hAnsi="Browallia New" w:cs="Browallia New"/>
              </w:rPr>
            </w:pPr>
            <w:r w:rsidRPr="003B1178">
              <w:rPr>
                <w:rFonts w:ascii="Browallia New" w:hAnsi="Browallia New" w:cs="Browallia New"/>
              </w:rPr>
              <w:t>“Extensively”</w:t>
            </w:r>
          </w:p>
        </w:tc>
        <w:tc>
          <w:tcPr>
            <w:tcW w:w="810" w:type="dxa"/>
            <w:tcBorders>
              <w:top w:val="none" w:sz="0" w:space="0" w:color="auto"/>
              <w:bottom w:val="none" w:sz="0" w:space="0" w:color="auto"/>
            </w:tcBorders>
            <w:shd w:val="clear" w:color="auto" w:fill="FFFFFF" w:themeFill="background1"/>
          </w:tcPr>
          <w:p w14:paraId="066E203F" w14:textId="77777777" w:rsidR="005B3E7A" w:rsidRPr="003B1178" w:rsidRDefault="009F7D8E"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w:t>
            </w:r>
          </w:p>
        </w:tc>
        <w:tc>
          <w:tcPr>
            <w:tcW w:w="1530" w:type="dxa"/>
            <w:tcBorders>
              <w:top w:val="none" w:sz="0" w:space="0" w:color="auto"/>
              <w:bottom w:val="none" w:sz="0" w:space="0" w:color="auto"/>
            </w:tcBorders>
            <w:shd w:val="clear" w:color="auto" w:fill="FFFFFF" w:themeFill="background1"/>
          </w:tcPr>
          <w:p w14:paraId="49D7BFA4" w14:textId="77777777" w:rsidR="005B3E7A" w:rsidRPr="003B1178" w:rsidRDefault="009F7D8E"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12%</w:t>
            </w:r>
          </w:p>
        </w:tc>
        <w:tc>
          <w:tcPr>
            <w:tcW w:w="1188" w:type="dxa"/>
            <w:tcBorders>
              <w:top w:val="none" w:sz="0" w:space="0" w:color="auto"/>
              <w:bottom w:val="none" w:sz="0" w:space="0" w:color="auto"/>
            </w:tcBorders>
            <w:shd w:val="clear" w:color="auto" w:fill="FFFFFF" w:themeFill="background1"/>
          </w:tcPr>
          <w:p w14:paraId="74DFDD9A" w14:textId="77777777" w:rsidR="005B3E7A" w:rsidRPr="003B1178" w:rsidRDefault="00DB785A"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30%</w:t>
            </w:r>
          </w:p>
        </w:tc>
        <w:tc>
          <w:tcPr>
            <w:tcW w:w="1327" w:type="dxa"/>
            <w:tcBorders>
              <w:top w:val="none" w:sz="0" w:space="0" w:color="auto"/>
              <w:bottom w:val="none" w:sz="0" w:space="0" w:color="auto"/>
            </w:tcBorders>
            <w:shd w:val="clear" w:color="auto" w:fill="FFFFFF" w:themeFill="background1"/>
          </w:tcPr>
          <w:p w14:paraId="4B4553C8" w14:textId="77777777" w:rsidR="005B3E7A" w:rsidRPr="003B1178" w:rsidRDefault="00DB785A"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26%</w:t>
            </w:r>
          </w:p>
        </w:tc>
        <w:tc>
          <w:tcPr>
            <w:tcW w:w="1571" w:type="dxa"/>
            <w:tcBorders>
              <w:top w:val="none" w:sz="0" w:space="0" w:color="auto"/>
              <w:bottom w:val="none" w:sz="0" w:space="0" w:color="auto"/>
              <w:right w:val="none" w:sz="0" w:space="0" w:color="auto"/>
            </w:tcBorders>
            <w:shd w:val="clear" w:color="auto" w:fill="FFFFFF" w:themeFill="background1"/>
          </w:tcPr>
          <w:p w14:paraId="3DABFCCB" w14:textId="77777777" w:rsidR="005B3E7A" w:rsidRPr="003B1178" w:rsidRDefault="00DB785A"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21%</w:t>
            </w:r>
          </w:p>
        </w:tc>
      </w:tr>
      <w:tr w:rsidR="005B3E7A" w:rsidRPr="00F46D57" w14:paraId="1FD45467" w14:textId="77777777" w:rsidTr="00F6494D">
        <w:tc>
          <w:tcPr>
            <w:cnfStyle w:val="001000000000" w:firstRow="0" w:lastRow="0" w:firstColumn="1" w:lastColumn="0" w:oddVBand="0" w:evenVBand="0" w:oddHBand="0" w:evenHBand="0" w:firstRowFirstColumn="0" w:firstRowLastColumn="0" w:lastRowFirstColumn="0" w:lastRowLastColumn="0"/>
            <w:tcW w:w="3150" w:type="dxa"/>
            <w:shd w:val="clear" w:color="auto" w:fill="FFFFFF" w:themeFill="background1"/>
          </w:tcPr>
          <w:p w14:paraId="4DE967C7" w14:textId="77777777" w:rsidR="005B3E7A" w:rsidRPr="003B1178" w:rsidRDefault="005B3E7A" w:rsidP="00BE07C9">
            <w:pPr>
              <w:spacing w:line="192" w:lineRule="auto"/>
              <w:rPr>
                <w:rFonts w:ascii="Browallia New" w:hAnsi="Browallia New" w:cs="Browallia New"/>
              </w:rPr>
            </w:pPr>
            <w:r w:rsidRPr="003B1178">
              <w:rPr>
                <w:rFonts w:ascii="Browallia New" w:hAnsi="Browallia New" w:cs="Browallia New"/>
              </w:rPr>
              <w:t>“Mostly”</w:t>
            </w:r>
          </w:p>
        </w:tc>
        <w:tc>
          <w:tcPr>
            <w:tcW w:w="810" w:type="dxa"/>
            <w:shd w:val="clear" w:color="auto" w:fill="FFFFFF" w:themeFill="background1"/>
          </w:tcPr>
          <w:p w14:paraId="0E3F1C01" w14:textId="77777777" w:rsidR="005B3E7A" w:rsidRPr="003B1178" w:rsidRDefault="009F7D8E"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21%</w:t>
            </w:r>
          </w:p>
        </w:tc>
        <w:tc>
          <w:tcPr>
            <w:tcW w:w="1530" w:type="dxa"/>
            <w:shd w:val="clear" w:color="auto" w:fill="FFFFFF" w:themeFill="background1"/>
          </w:tcPr>
          <w:p w14:paraId="26221C9E" w14:textId="77777777" w:rsidR="005B3E7A" w:rsidRPr="003B1178" w:rsidRDefault="00DB785A"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24%</w:t>
            </w:r>
          </w:p>
        </w:tc>
        <w:tc>
          <w:tcPr>
            <w:tcW w:w="1188" w:type="dxa"/>
            <w:shd w:val="clear" w:color="auto" w:fill="FFFFFF" w:themeFill="background1"/>
          </w:tcPr>
          <w:p w14:paraId="05B0B377" w14:textId="77777777" w:rsidR="005B3E7A" w:rsidRPr="003B1178" w:rsidRDefault="00DB785A"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15%</w:t>
            </w:r>
          </w:p>
        </w:tc>
        <w:tc>
          <w:tcPr>
            <w:tcW w:w="1327" w:type="dxa"/>
            <w:shd w:val="clear" w:color="auto" w:fill="FFFFFF" w:themeFill="background1"/>
          </w:tcPr>
          <w:p w14:paraId="66E19C71" w14:textId="77777777" w:rsidR="005B3E7A" w:rsidRPr="003B1178" w:rsidRDefault="00DB785A"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13%</w:t>
            </w:r>
          </w:p>
        </w:tc>
        <w:tc>
          <w:tcPr>
            <w:tcW w:w="1571" w:type="dxa"/>
            <w:shd w:val="clear" w:color="auto" w:fill="FFFFFF" w:themeFill="background1"/>
          </w:tcPr>
          <w:p w14:paraId="783B8E70" w14:textId="77777777" w:rsidR="005B3E7A" w:rsidRPr="003B1178" w:rsidRDefault="00DB785A" w:rsidP="00BE07C9">
            <w:pPr>
              <w:spacing w:line="192"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5%</w:t>
            </w:r>
          </w:p>
        </w:tc>
      </w:tr>
      <w:tr w:rsidR="005B3E7A" w:rsidRPr="00F46D57" w14:paraId="64268107"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left w:val="none" w:sz="0" w:space="0" w:color="auto"/>
              <w:bottom w:val="none" w:sz="0" w:space="0" w:color="auto"/>
            </w:tcBorders>
            <w:shd w:val="clear" w:color="auto" w:fill="FFFFFF" w:themeFill="background1"/>
          </w:tcPr>
          <w:p w14:paraId="2FB6B4AF" w14:textId="77777777" w:rsidR="005B3E7A" w:rsidRPr="003B1178" w:rsidRDefault="005B3E7A" w:rsidP="00BE07C9">
            <w:pPr>
              <w:spacing w:line="192" w:lineRule="auto"/>
              <w:rPr>
                <w:rFonts w:ascii="Browallia New" w:hAnsi="Browallia New" w:cs="Browallia New"/>
              </w:rPr>
            </w:pPr>
            <w:r w:rsidRPr="003B1178">
              <w:rPr>
                <w:rFonts w:ascii="Browallia New" w:hAnsi="Browallia New" w:cs="Browallia New"/>
              </w:rPr>
              <w:t xml:space="preserve">      Combined</w:t>
            </w:r>
          </w:p>
        </w:tc>
        <w:tc>
          <w:tcPr>
            <w:tcW w:w="810" w:type="dxa"/>
            <w:tcBorders>
              <w:top w:val="none" w:sz="0" w:space="0" w:color="auto"/>
              <w:bottom w:val="none" w:sz="0" w:space="0" w:color="auto"/>
            </w:tcBorders>
            <w:shd w:val="clear" w:color="auto" w:fill="FFFFFF" w:themeFill="background1"/>
          </w:tcPr>
          <w:p w14:paraId="0F3E5912" w14:textId="77777777" w:rsidR="005B3E7A" w:rsidRPr="003B1178" w:rsidRDefault="009F7D8E"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29%</w:t>
            </w:r>
          </w:p>
        </w:tc>
        <w:tc>
          <w:tcPr>
            <w:tcW w:w="1530" w:type="dxa"/>
            <w:tcBorders>
              <w:top w:val="none" w:sz="0" w:space="0" w:color="auto"/>
              <w:bottom w:val="none" w:sz="0" w:space="0" w:color="auto"/>
            </w:tcBorders>
            <w:shd w:val="clear" w:color="auto" w:fill="FFFFFF" w:themeFill="background1"/>
          </w:tcPr>
          <w:p w14:paraId="65EBC38E" w14:textId="77777777" w:rsidR="005B3E7A" w:rsidRPr="003B1178" w:rsidRDefault="00DB785A"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36%</w:t>
            </w:r>
          </w:p>
        </w:tc>
        <w:tc>
          <w:tcPr>
            <w:tcW w:w="1188" w:type="dxa"/>
            <w:tcBorders>
              <w:top w:val="none" w:sz="0" w:space="0" w:color="auto"/>
              <w:bottom w:val="none" w:sz="0" w:space="0" w:color="auto"/>
            </w:tcBorders>
            <w:shd w:val="clear" w:color="auto" w:fill="FFFFFF" w:themeFill="background1"/>
          </w:tcPr>
          <w:p w14:paraId="20BA0B62" w14:textId="77777777" w:rsidR="005B3E7A" w:rsidRPr="003B1178" w:rsidRDefault="00DB785A"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45%</w:t>
            </w:r>
          </w:p>
        </w:tc>
        <w:tc>
          <w:tcPr>
            <w:tcW w:w="1327" w:type="dxa"/>
            <w:tcBorders>
              <w:top w:val="none" w:sz="0" w:space="0" w:color="auto"/>
              <w:bottom w:val="none" w:sz="0" w:space="0" w:color="auto"/>
            </w:tcBorders>
            <w:shd w:val="clear" w:color="auto" w:fill="FFFFFF" w:themeFill="background1"/>
          </w:tcPr>
          <w:p w14:paraId="1C537E8D" w14:textId="77777777" w:rsidR="005B3E7A" w:rsidRPr="003B1178" w:rsidRDefault="00DB785A"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571" w:type="dxa"/>
            <w:tcBorders>
              <w:top w:val="none" w:sz="0" w:space="0" w:color="auto"/>
              <w:bottom w:val="none" w:sz="0" w:space="0" w:color="auto"/>
              <w:right w:val="none" w:sz="0" w:space="0" w:color="auto"/>
            </w:tcBorders>
            <w:shd w:val="clear" w:color="auto" w:fill="FFFFFF" w:themeFill="background1"/>
          </w:tcPr>
          <w:p w14:paraId="4A2AB9CB" w14:textId="77777777" w:rsidR="005B3E7A" w:rsidRPr="003B1178" w:rsidRDefault="00DB785A" w:rsidP="00BE07C9">
            <w:pPr>
              <w:spacing w:line="192"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26%</w:t>
            </w:r>
          </w:p>
        </w:tc>
      </w:tr>
    </w:tbl>
    <w:p w14:paraId="3430D30B" w14:textId="77777777" w:rsidR="005B3E7A" w:rsidRPr="00F46D57" w:rsidRDefault="005B3E7A" w:rsidP="00BE07C9">
      <w:pPr>
        <w:spacing w:line="192" w:lineRule="auto"/>
        <w:jc w:val="both"/>
        <w:rPr>
          <w:rFonts w:ascii="Browallia New" w:hAnsi="Browallia New" w:cs="Browallia New"/>
        </w:rPr>
      </w:pPr>
    </w:p>
    <w:p w14:paraId="501D1D3E" w14:textId="77777777" w:rsidR="00815E7B" w:rsidRPr="00B57E24" w:rsidRDefault="005B3E7A"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Despite the higher percentages of boards that discuss risk exposures in the context of strategic planning for the largest organizations and public companies, the fact that more than half of those organizations are not having these kinds of discussions suggests that there is still room for marked improvement in how risk oversight efforts and strategic planning are integrated. Given the fundamental relationship between risk and return, </w:t>
      </w:r>
      <w:proofErr w:type="gramStart"/>
      <w:r w:rsidRPr="00B57E24">
        <w:rPr>
          <w:rFonts w:ascii="Browallia New" w:hAnsi="Browallia New" w:cs="Browallia New"/>
          <w:sz w:val="28"/>
          <w:szCs w:val="28"/>
        </w:rPr>
        <w:t>it would seem that these</w:t>
      </w:r>
      <w:proofErr w:type="gramEnd"/>
      <w:r w:rsidRPr="00B57E24">
        <w:rPr>
          <w:rFonts w:ascii="Browallia New" w:hAnsi="Browallia New" w:cs="Browallia New"/>
          <w:sz w:val="28"/>
          <w:szCs w:val="28"/>
        </w:rPr>
        <w:t xml:space="preserve"> kinds of discussions should occur in all organizations. Thus, there appears to be a continued disconnect between the oversight of risks and the design and execution of the organization’s strategic plan.</w:t>
      </w:r>
    </w:p>
    <w:p w14:paraId="07F7C1F9" w14:textId="77777777" w:rsidR="006F5979" w:rsidRPr="00E9639E" w:rsidRDefault="00A45F1C" w:rsidP="00E12ABA">
      <w:pPr>
        <w:shd w:val="clear" w:color="auto" w:fill="0070C0"/>
        <w:rPr>
          <w:rFonts w:ascii="Browallia New" w:hAnsi="Browallia New" w:cs="Browallia New"/>
          <w:b/>
          <w:color w:val="FFFFFF" w:themeColor="background1"/>
          <w:sz w:val="36"/>
          <w:szCs w:val="36"/>
        </w:rPr>
      </w:pPr>
      <w:r>
        <w:rPr>
          <w:rFonts w:ascii="Browallia New" w:hAnsi="Browallia New" w:cs="Browallia New"/>
          <w:b/>
          <w:color w:val="FFFFFF" w:themeColor="background1"/>
          <w:sz w:val="36"/>
          <w:szCs w:val="36"/>
        </w:rPr>
        <w:lastRenderedPageBreak/>
        <w:t xml:space="preserve">STATUS OF </w:t>
      </w:r>
      <w:r w:rsidR="00775C92">
        <w:rPr>
          <w:rFonts w:ascii="Browallia New" w:hAnsi="Browallia New" w:cs="Browallia New"/>
          <w:b/>
          <w:color w:val="FFFFFF" w:themeColor="background1"/>
          <w:sz w:val="36"/>
          <w:szCs w:val="36"/>
        </w:rPr>
        <w:t xml:space="preserve">KEY </w:t>
      </w:r>
      <w:r>
        <w:rPr>
          <w:rFonts w:ascii="Browallia New" w:hAnsi="Browallia New" w:cs="Browallia New"/>
          <w:b/>
          <w:color w:val="FFFFFF" w:themeColor="background1"/>
          <w:sz w:val="36"/>
          <w:szCs w:val="36"/>
        </w:rPr>
        <w:t>ELEMENTS</w:t>
      </w:r>
      <w:r w:rsidR="00775C92">
        <w:rPr>
          <w:rFonts w:ascii="Browallia New" w:hAnsi="Browallia New" w:cs="Browallia New"/>
          <w:b/>
          <w:color w:val="FFFFFF" w:themeColor="background1"/>
          <w:sz w:val="36"/>
          <w:szCs w:val="36"/>
        </w:rPr>
        <w:t xml:space="preserve"> OF A RISK MANAGEMENT PROCESS</w:t>
      </w:r>
    </w:p>
    <w:p w14:paraId="46D916E4" w14:textId="77777777" w:rsidR="004526B3" w:rsidRPr="00B57E24" w:rsidRDefault="004526B3" w:rsidP="00B57E24">
      <w:pPr>
        <w:pStyle w:val="ListParagraph"/>
        <w:numPr>
          <w:ilvl w:val="0"/>
          <w:numId w:val="41"/>
        </w:numPr>
        <w:spacing w:line="204" w:lineRule="auto"/>
        <w:ind w:right="432"/>
        <w:jc w:val="both"/>
        <w:rPr>
          <w:rFonts w:ascii="Browallia New" w:hAnsi="Browallia New" w:cs="Browallia New"/>
          <w:b/>
          <w:i/>
          <w:color w:val="0070C0"/>
          <w:sz w:val="28"/>
          <w:szCs w:val="28"/>
        </w:rPr>
      </w:pPr>
      <w:r w:rsidRPr="00B57E24">
        <w:rPr>
          <w:rFonts w:ascii="Browallia New" w:hAnsi="Browallia New" w:cs="Browallia New"/>
          <w:b/>
          <w:i/>
          <w:color w:val="0070C0"/>
          <w:sz w:val="28"/>
          <w:szCs w:val="28"/>
        </w:rPr>
        <w:t>More organizations are maintaining inventories of ris</w:t>
      </w:r>
      <w:r w:rsidR="00007509" w:rsidRPr="00B57E24">
        <w:rPr>
          <w:rFonts w:ascii="Browallia New" w:hAnsi="Browallia New" w:cs="Browallia New"/>
          <w:b/>
          <w:i/>
          <w:color w:val="0070C0"/>
          <w:sz w:val="28"/>
          <w:szCs w:val="28"/>
        </w:rPr>
        <w:t xml:space="preserve">ks at the enterprise </w:t>
      </w:r>
      <w:proofErr w:type="gramStart"/>
      <w:r w:rsidR="00007509" w:rsidRPr="00B57E24">
        <w:rPr>
          <w:rFonts w:ascii="Browallia New" w:hAnsi="Browallia New" w:cs="Browallia New"/>
          <w:b/>
          <w:i/>
          <w:color w:val="0070C0"/>
          <w:sz w:val="28"/>
          <w:szCs w:val="28"/>
        </w:rPr>
        <w:t>level</w:t>
      </w:r>
      <w:proofErr w:type="gramEnd"/>
      <w:r w:rsidR="00007509" w:rsidRPr="00B57E24">
        <w:rPr>
          <w:rFonts w:ascii="Browallia New" w:hAnsi="Browallia New" w:cs="Browallia New"/>
          <w:b/>
          <w:i/>
          <w:color w:val="0070C0"/>
          <w:sz w:val="28"/>
          <w:szCs w:val="28"/>
        </w:rPr>
        <w:t xml:space="preserve"> and most organizations are attempting to update their understanding </w:t>
      </w:r>
      <w:r w:rsidR="00D20EF4" w:rsidRPr="00B57E24">
        <w:rPr>
          <w:rFonts w:ascii="Browallia New" w:hAnsi="Browallia New" w:cs="Browallia New"/>
          <w:b/>
          <w:i/>
          <w:color w:val="0070C0"/>
          <w:sz w:val="28"/>
          <w:szCs w:val="28"/>
        </w:rPr>
        <w:t xml:space="preserve">of </w:t>
      </w:r>
      <w:r w:rsidR="00007509" w:rsidRPr="00B57E24">
        <w:rPr>
          <w:rFonts w:ascii="Browallia New" w:hAnsi="Browallia New" w:cs="Browallia New"/>
          <w:b/>
          <w:i/>
          <w:color w:val="0070C0"/>
          <w:sz w:val="28"/>
          <w:szCs w:val="28"/>
        </w:rPr>
        <w:t>key risks a</w:t>
      </w:r>
      <w:r w:rsidR="00EB09A8" w:rsidRPr="00B57E24">
        <w:rPr>
          <w:rFonts w:ascii="Browallia New" w:hAnsi="Browallia New" w:cs="Browallia New"/>
          <w:b/>
          <w:i/>
          <w:color w:val="0070C0"/>
          <w:sz w:val="28"/>
          <w:szCs w:val="28"/>
        </w:rPr>
        <w:t>t</w:t>
      </w:r>
      <w:r w:rsidR="00007509" w:rsidRPr="00B57E24">
        <w:rPr>
          <w:rFonts w:ascii="Browallia New" w:hAnsi="Browallia New" w:cs="Browallia New"/>
          <w:b/>
          <w:i/>
          <w:color w:val="0070C0"/>
          <w:sz w:val="28"/>
          <w:szCs w:val="28"/>
        </w:rPr>
        <w:t xml:space="preserve"> least annually</w:t>
      </w:r>
      <w:r w:rsidRPr="00B57E24">
        <w:rPr>
          <w:rFonts w:ascii="Browallia New" w:hAnsi="Browallia New" w:cs="Browallia New"/>
          <w:b/>
          <w:i/>
          <w:color w:val="0070C0"/>
          <w:sz w:val="28"/>
          <w:szCs w:val="28"/>
        </w:rPr>
        <w:t>.</w:t>
      </w:r>
    </w:p>
    <w:p w14:paraId="115013D4" w14:textId="77777777" w:rsidR="00B57E24" w:rsidRPr="00B57E24" w:rsidRDefault="00B57E24" w:rsidP="00B57E24">
      <w:pPr>
        <w:pStyle w:val="ListParagraph"/>
        <w:numPr>
          <w:ilvl w:val="0"/>
          <w:numId w:val="41"/>
        </w:numPr>
        <w:spacing w:line="204" w:lineRule="auto"/>
        <w:ind w:right="432"/>
        <w:jc w:val="both"/>
        <w:rPr>
          <w:rFonts w:ascii="Browallia New" w:hAnsi="Browallia New" w:cs="Browallia New"/>
          <w:b/>
          <w:i/>
          <w:color w:val="0070C0"/>
          <w:sz w:val="28"/>
          <w:szCs w:val="28"/>
        </w:rPr>
      </w:pPr>
      <w:r w:rsidRPr="00B57E24">
        <w:rPr>
          <w:rFonts w:ascii="Browallia New" w:hAnsi="Browallia New" w:cs="Browallia New"/>
          <w:b/>
          <w:i/>
          <w:color w:val="0070C0"/>
          <w:sz w:val="28"/>
          <w:szCs w:val="28"/>
        </w:rPr>
        <w:t xml:space="preserve">Larger companies, public companies, and financial services organizations have more formalized risk management processes, although there are signs this is increasing for other types of organizations as well.  </w:t>
      </w:r>
    </w:p>
    <w:p w14:paraId="48156E2D"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Just </w:t>
      </w:r>
      <w:r w:rsidR="00E9639E" w:rsidRPr="00B57E24">
        <w:rPr>
          <w:rFonts w:ascii="Browallia New" w:hAnsi="Browallia New" w:cs="Browallia New"/>
          <w:sz w:val="28"/>
          <w:szCs w:val="28"/>
        </w:rPr>
        <w:t>under</w:t>
      </w:r>
      <w:r w:rsidRPr="00B57E24">
        <w:rPr>
          <w:rFonts w:ascii="Browallia New" w:hAnsi="Browallia New" w:cs="Browallia New"/>
          <w:sz w:val="28"/>
          <w:szCs w:val="28"/>
        </w:rPr>
        <w:t xml:space="preserve"> half of the organizations in the full sample (</w:t>
      </w:r>
      <w:r w:rsidR="00E9639E" w:rsidRPr="00B57E24">
        <w:rPr>
          <w:rFonts w:ascii="Browallia New" w:hAnsi="Browallia New" w:cs="Browallia New"/>
          <w:sz w:val="28"/>
          <w:szCs w:val="28"/>
        </w:rPr>
        <w:t>4</w:t>
      </w:r>
      <w:r w:rsidRPr="00B57E24">
        <w:rPr>
          <w:rFonts w:ascii="Browallia New" w:hAnsi="Browallia New" w:cs="Browallia New"/>
          <w:sz w:val="28"/>
          <w:szCs w:val="28"/>
        </w:rPr>
        <w:t>5%) have a formal policy statement regarding its enterprise-wide approach to risk management. The presence of a formal policy is more common in the largest organizations (6</w:t>
      </w:r>
      <w:r w:rsidR="00E9639E" w:rsidRPr="00B57E24">
        <w:rPr>
          <w:rFonts w:ascii="Browallia New" w:hAnsi="Browallia New" w:cs="Browallia New"/>
          <w:sz w:val="28"/>
          <w:szCs w:val="28"/>
        </w:rPr>
        <w:t>1</w:t>
      </w:r>
      <w:r w:rsidRPr="00B57E24">
        <w:rPr>
          <w:rFonts w:ascii="Browallia New" w:hAnsi="Browallia New" w:cs="Browallia New"/>
          <w:sz w:val="28"/>
          <w:szCs w:val="28"/>
        </w:rPr>
        <w:t>%), public companies (68%), and financial services entities (6</w:t>
      </w:r>
      <w:r w:rsidR="00E9639E" w:rsidRPr="00B57E24">
        <w:rPr>
          <w:rFonts w:ascii="Browallia New" w:hAnsi="Browallia New" w:cs="Browallia New"/>
          <w:sz w:val="28"/>
          <w:szCs w:val="28"/>
        </w:rPr>
        <w:t>9</w:t>
      </w:r>
      <w:r w:rsidRPr="00B57E24">
        <w:rPr>
          <w:rFonts w:ascii="Browallia New" w:hAnsi="Browallia New" w:cs="Browallia New"/>
          <w:sz w:val="28"/>
          <w:szCs w:val="28"/>
        </w:rPr>
        <w:t>%)</w:t>
      </w:r>
      <w:r w:rsidR="00874018" w:rsidRPr="00B57E24">
        <w:rPr>
          <w:rFonts w:ascii="Browallia New" w:hAnsi="Browallia New" w:cs="Browallia New"/>
          <w:sz w:val="28"/>
          <w:szCs w:val="28"/>
        </w:rPr>
        <w:t>, where regulatory and best practice expectations have a greater influence</w:t>
      </w:r>
      <w:r w:rsidRPr="00B57E24">
        <w:rPr>
          <w:rFonts w:ascii="Browallia New" w:hAnsi="Browallia New" w:cs="Browallia New"/>
          <w:sz w:val="28"/>
          <w:szCs w:val="28"/>
        </w:rPr>
        <w:t>. Not-for-profit organizations are least likely to have a formal policy in place</w:t>
      </w:r>
      <w:r w:rsidR="00A45F1C">
        <w:rPr>
          <w:rFonts w:ascii="Browallia New" w:hAnsi="Browallia New" w:cs="Browallia New"/>
          <w:sz w:val="28"/>
          <w:szCs w:val="28"/>
        </w:rPr>
        <w:t xml:space="preserve"> (only 37% do)</w:t>
      </w:r>
      <w:r w:rsidR="00874018" w:rsidRPr="00B57E24">
        <w:rPr>
          <w:rFonts w:ascii="Browallia New" w:hAnsi="Browallia New" w:cs="Browallia New"/>
          <w:sz w:val="28"/>
          <w:szCs w:val="28"/>
        </w:rPr>
        <w:t xml:space="preserve">, which may be partially attributable to the lack of </w:t>
      </w:r>
      <w:r w:rsidR="00BC396B" w:rsidRPr="00B57E24">
        <w:rPr>
          <w:rFonts w:ascii="Browallia New" w:hAnsi="Browallia New" w:cs="Browallia New"/>
          <w:sz w:val="28"/>
          <w:szCs w:val="28"/>
        </w:rPr>
        <w:t>external influences related to risk management</w:t>
      </w:r>
      <w:r w:rsidRPr="00B57E24">
        <w:rPr>
          <w:rFonts w:ascii="Browallia New" w:hAnsi="Browallia New" w:cs="Browallia New"/>
          <w:sz w:val="28"/>
          <w:szCs w:val="28"/>
        </w:rPr>
        <w:t>.</w:t>
      </w:r>
    </w:p>
    <w:tbl>
      <w:tblPr>
        <w:tblStyle w:val="LightList-Accent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38"/>
        <w:gridCol w:w="90"/>
        <w:gridCol w:w="990"/>
        <w:gridCol w:w="1620"/>
        <w:gridCol w:w="1440"/>
        <w:gridCol w:w="1365"/>
        <w:gridCol w:w="1533"/>
      </w:tblGrid>
      <w:tr w:rsidR="006F5979" w:rsidRPr="00F46D57" w14:paraId="251ABAC3" w14:textId="77777777" w:rsidTr="00E12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thinThickThinLargeGap" w:sz="24" w:space="0" w:color="C48B01" w:themeColor="accent2" w:themeShade="BF"/>
            </w:tcBorders>
            <w:shd w:val="clear" w:color="auto" w:fill="0070C0"/>
          </w:tcPr>
          <w:p w14:paraId="79309D18" w14:textId="77777777" w:rsidR="006F5979" w:rsidRPr="00E9639E" w:rsidRDefault="006F5979" w:rsidP="00DA236B">
            <w:pPr>
              <w:jc w:val="both"/>
              <w:rPr>
                <w:rFonts w:ascii="Browallia New" w:hAnsi="Browallia New" w:cs="Browallia New"/>
                <w:sz w:val="28"/>
                <w:szCs w:val="28"/>
              </w:rPr>
            </w:pPr>
            <w:r w:rsidRPr="00E9639E">
              <w:rPr>
                <w:rFonts w:ascii="Browallia New" w:hAnsi="Browallia New" w:cs="Browallia New"/>
                <w:sz w:val="28"/>
                <w:szCs w:val="28"/>
              </w:rPr>
              <w:br w:type="page"/>
            </w:r>
          </w:p>
        </w:tc>
        <w:tc>
          <w:tcPr>
            <w:tcW w:w="5505" w:type="dxa"/>
            <w:gridSpan w:val="5"/>
            <w:tcBorders>
              <w:top w:val="thinThickThinLargeGap" w:sz="24" w:space="0" w:color="C48B01" w:themeColor="accent2" w:themeShade="BF"/>
            </w:tcBorders>
            <w:shd w:val="clear" w:color="auto" w:fill="0070C0"/>
          </w:tcPr>
          <w:p w14:paraId="59079F5F" w14:textId="77777777" w:rsidR="006F5979" w:rsidRPr="00E9639E"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E9639E">
              <w:rPr>
                <w:rFonts w:ascii="Browallia New" w:hAnsi="Browallia New" w:cs="Browallia New"/>
                <w:sz w:val="28"/>
                <w:szCs w:val="28"/>
              </w:rPr>
              <w:t>Percentage of Respondents</w:t>
            </w:r>
          </w:p>
        </w:tc>
        <w:tc>
          <w:tcPr>
            <w:tcW w:w="1533" w:type="dxa"/>
            <w:tcBorders>
              <w:top w:val="thinThickThinLargeGap" w:sz="24" w:space="0" w:color="C48B01" w:themeColor="accent2" w:themeShade="BF"/>
            </w:tcBorders>
            <w:shd w:val="clear" w:color="auto" w:fill="0070C0"/>
          </w:tcPr>
          <w:p w14:paraId="1479F0E2" w14:textId="77777777" w:rsidR="006F5979" w:rsidRPr="00E9639E"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p>
        </w:tc>
      </w:tr>
      <w:tr w:rsidR="006F5979" w:rsidRPr="00F46D57" w14:paraId="615FF5EF" w14:textId="77777777" w:rsidTr="00E96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one" w:sz="0" w:space="0" w:color="auto"/>
              <w:left w:val="none" w:sz="0" w:space="0" w:color="auto"/>
              <w:bottom w:val="none" w:sz="0" w:space="0" w:color="auto"/>
            </w:tcBorders>
            <w:shd w:val="clear" w:color="auto" w:fill="FFFFFF" w:themeFill="background1"/>
          </w:tcPr>
          <w:p w14:paraId="0D7B8836" w14:textId="77777777" w:rsidR="006F5979" w:rsidRPr="00E9639E" w:rsidRDefault="006F5979" w:rsidP="00E9639E">
            <w:pPr>
              <w:spacing w:line="204" w:lineRule="auto"/>
              <w:rPr>
                <w:rFonts w:ascii="Browallia New" w:hAnsi="Browallia New" w:cs="Browallia New"/>
                <w:color w:val="C48B01" w:themeColor="accent2" w:themeShade="BF"/>
              </w:rPr>
            </w:pPr>
          </w:p>
        </w:tc>
        <w:tc>
          <w:tcPr>
            <w:tcW w:w="990" w:type="dxa"/>
            <w:tcBorders>
              <w:top w:val="none" w:sz="0" w:space="0" w:color="auto"/>
              <w:bottom w:val="none" w:sz="0" w:space="0" w:color="auto"/>
            </w:tcBorders>
            <w:shd w:val="clear" w:color="auto" w:fill="FFFFFF" w:themeFill="background1"/>
          </w:tcPr>
          <w:p w14:paraId="57252A07"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7CA210A"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Full </w:t>
            </w:r>
            <w:r w:rsidRPr="003B1178">
              <w:rPr>
                <w:rFonts w:ascii="Browallia New" w:hAnsi="Browallia New" w:cs="Browallia New"/>
                <w:b/>
                <w:u w:val="single"/>
              </w:rPr>
              <w:t>Sample</w:t>
            </w:r>
          </w:p>
        </w:tc>
        <w:tc>
          <w:tcPr>
            <w:tcW w:w="1620" w:type="dxa"/>
            <w:tcBorders>
              <w:top w:val="none" w:sz="0" w:space="0" w:color="auto"/>
              <w:bottom w:val="none" w:sz="0" w:space="0" w:color="auto"/>
            </w:tcBorders>
            <w:shd w:val="clear" w:color="auto" w:fill="FFFFFF" w:themeFill="background1"/>
          </w:tcPr>
          <w:p w14:paraId="306255F3"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Largest Organizations </w:t>
            </w:r>
            <w:r w:rsidRPr="003B1178">
              <w:rPr>
                <w:rFonts w:ascii="Browallia New" w:hAnsi="Browallia New" w:cs="Browallia New"/>
                <w:b/>
                <w:u w:val="single"/>
              </w:rPr>
              <w:t>(Revenues &gt;$1B)</w:t>
            </w:r>
          </w:p>
        </w:tc>
        <w:tc>
          <w:tcPr>
            <w:tcW w:w="1440" w:type="dxa"/>
            <w:tcBorders>
              <w:top w:val="none" w:sz="0" w:space="0" w:color="auto"/>
              <w:bottom w:val="none" w:sz="0" w:space="0" w:color="auto"/>
            </w:tcBorders>
            <w:shd w:val="clear" w:color="auto" w:fill="FFFFFF" w:themeFill="background1"/>
          </w:tcPr>
          <w:p w14:paraId="47881289"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A3BE1A5"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Public </w:t>
            </w:r>
            <w:r w:rsidRPr="003B1178">
              <w:rPr>
                <w:rFonts w:ascii="Browallia New" w:hAnsi="Browallia New" w:cs="Browallia New"/>
                <w:b/>
                <w:u w:val="single"/>
              </w:rPr>
              <w:t>Companies</w:t>
            </w:r>
          </w:p>
        </w:tc>
        <w:tc>
          <w:tcPr>
            <w:tcW w:w="1365" w:type="dxa"/>
            <w:tcBorders>
              <w:top w:val="none" w:sz="0" w:space="0" w:color="auto"/>
              <w:bottom w:val="none" w:sz="0" w:space="0" w:color="auto"/>
            </w:tcBorders>
            <w:shd w:val="clear" w:color="auto" w:fill="FFFFFF" w:themeFill="background1"/>
          </w:tcPr>
          <w:p w14:paraId="764C428B"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6A1B2E6"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Financial </w:t>
            </w:r>
          </w:p>
          <w:p w14:paraId="64590AAD"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 xml:space="preserve">Services </w:t>
            </w:r>
          </w:p>
        </w:tc>
        <w:tc>
          <w:tcPr>
            <w:tcW w:w="1533" w:type="dxa"/>
            <w:tcBorders>
              <w:top w:val="none" w:sz="0" w:space="0" w:color="auto"/>
              <w:bottom w:val="none" w:sz="0" w:space="0" w:color="auto"/>
              <w:right w:val="none" w:sz="0" w:space="0" w:color="auto"/>
            </w:tcBorders>
            <w:shd w:val="clear" w:color="auto" w:fill="FFFFFF" w:themeFill="background1"/>
          </w:tcPr>
          <w:p w14:paraId="46FB88FB"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3AC2E1DF" w14:textId="77777777" w:rsidR="006F5979" w:rsidRPr="003B1178" w:rsidRDefault="006F5979" w:rsidP="00E9639E">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Not-For-Profit </w:t>
            </w:r>
            <w:r w:rsidRPr="003B1178">
              <w:rPr>
                <w:rFonts w:ascii="Browallia New" w:hAnsi="Browallia New" w:cs="Browallia New"/>
                <w:b/>
                <w:u w:val="single"/>
              </w:rPr>
              <w:t>Organizations</w:t>
            </w:r>
          </w:p>
        </w:tc>
      </w:tr>
      <w:tr w:rsidR="006F5979" w:rsidRPr="00F46D57" w14:paraId="2FA63384" w14:textId="77777777" w:rsidTr="00E9639E">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FFFFFF" w:themeFill="background1"/>
          </w:tcPr>
          <w:p w14:paraId="396ACE6E" w14:textId="77777777" w:rsidR="006F5979" w:rsidRPr="003B1178" w:rsidRDefault="00A07F45" w:rsidP="00A07F45">
            <w:pPr>
              <w:spacing w:line="204" w:lineRule="auto"/>
              <w:rPr>
                <w:rFonts w:ascii="Browallia New" w:hAnsi="Browallia New" w:cs="Browallia New"/>
              </w:rPr>
            </w:pPr>
            <w:r w:rsidRPr="003B1178">
              <w:rPr>
                <w:rFonts w:ascii="Browallia New" w:hAnsi="Browallia New" w:cs="Browallia New"/>
              </w:rPr>
              <w:t>Organization has a</w:t>
            </w:r>
            <w:r w:rsidR="006F5979" w:rsidRPr="003B1178">
              <w:rPr>
                <w:rFonts w:ascii="Browallia New" w:hAnsi="Browallia New" w:cs="Browallia New"/>
              </w:rPr>
              <w:t xml:space="preserve"> formal policy statement regarding enterprise-wide approach to risk management</w:t>
            </w:r>
          </w:p>
        </w:tc>
        <w:tc>
          <w:tcPr>
            <w:tcW w:w="990" w:type="dxa"/>
            <w:shd w:val="clear" w:color="auto" w:fill="FFFFFF" w:themeFill="background1"/>
          </w:tcPr>
          <w:p w14:paraId="517E2E6C" w14:textId="77777777" w:rsidR="006F5979" w:rsidRPr="003B1178" w:rsidRDefault="007E25EE" w:rsidP="00E9639E">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45%</w:t>
            </w:r>
          </w:p>
        </w:tc>
        <w:tc>
          <w:tcPr>
            <w:tcW w:w="1620" w:type="dxa"/>
            <w:shd w:val="clear" w:color="auto" w:fill="FFFFFF" w:themeFill="background1"/>
          </w:tcPr>
          <w:p w14:paraId="70C7C49E" w14:textId="77777777" w:rsidR="006F5979" w:rsidRPr="003B1178" w:rsidRDefault="007E25EE" w:rsidP="00E9639E">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61%</w:t>
            </w:r>
          </w:p>
        </w:tc>
        <w:tc>
          <w:tcPr>
            <w:tcW w:w="1440" w:type="dxa"/>
            <w:shd w:val="clear" w:color="auto" w:fill="FFFFFF" w:themeFill="background1"/>
          </w:tcPr>
          <w:p w14:paraId="3ACEC401" w14:textId="77777777" w:rsidR="006F5979" w:rsidRPr="003B1178" w:rsidRDefault="007E25EE" w:rsidP="00E9639E">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68%</w:t>
            </w:r>
          </w:p>
        </w:tc>
        <w:tc>
          <w:tcPr>
            <w:tcW w:w="1365" w:type="dxa"/>
            <w:shd w:val="clear" w:color="auto" w:fill="FFFFFF" w:themeFill="background1"/>
          </w:tcPr>
          <w:p w14:paraId="294235B4" w14:textId="77777777" w:rsidR="006F5979" w:rsidRPr="003B1178" w:rsidRDefault="007E25EE" w:rsidP="00E9639E">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69%</w:t>
            </w:r>
          </w:p>
        </w:tc>
        <w:tc>
          <w:tcPr>
            <w:tcW w:w="1533" w:type="dxa"/>
            <w:shd w:val="clear" w:color="auto" w:fill="FFFFFF" w:themeFill="background1"/>
          </w:tcPr>
          <w:p w14:paraId="6C12FDF9" w14:textId="77777777" w:rsidR="006F5979" w:rsidRPr="003B1178" w:rsidRDefault="007E25EE" w:rsidP="00E9639E">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r>
    </w:tbl>
    <w:p w14:paraId="161324C0" w14:textId="77777777" w:rsidR="006F5979" w:rsidRPr="00B57E24" w:rsidRDefault="006F5979" w:rsidP="00944699">
      <w:pPr>
        <w:spacing w:before="120" w:line="204" w:lineRule="auto"/>
        <w:jc w:val="both"/>
        <w:rPr>
          <w:rFonts w:ascii="Browallia New" w:hAnsi="Browallia New" w:cs="Browallia New"/>
          <w:sz w:val="28"/>
          <w:szCs w:val="28"/>
        </w:rPr>
      </w:pPr>
      <w:r w:rsidRPr="00B57E24">
        <w:rPr>
          <w:rFonts w:ascii="Browallia New" w:hAnsi="Browallia New" w:cs="Browallia New"/>
          <w:sz w:val="28"/>
          <w:szCs w:val="28"/>
        </w:rPr>
        <w:t xml:space="preserve">A higher percentage of organizations now maintain inventories of risks at the enterprise level than </w:t>
      </w:r>
      <w:r w:rsidR="00EB09A8" w:rsidRPr="00B57E24">
        <w:rPr>
          <w:rFonts w:ascii="Browallia New" w:hAnsi="Browallia New" w:cs="Browallia New"/>
          <w:sz w:val="28"/>
          <w:szCs w:val="28"/>
        </w:rPr>
        <w:t xml:space="preserve">in </w:t>
      </w:r>
      <w:r w:rsidRPr="00B57E24">
        <w:rPr>
          <w:rFonts w:ascii="Browallia New" w:hAnsi="Browallia New" w:cs="Browallia New"/>
          <w:sz w:val="28"/>
          <w:szCs w:val="28"/>
        </w:rPr>
        <w:t xml:space="preserve">prior years, as illustrated by the bar graph below. </w:t>
      </w:r>
      <w:r w:rsidR="00E9639E" w:rsidRPr="00B57E24">
        <w:rPr>
          <w:rFonts w:ascii="Browallia New" w:hAnsi="Browallia New" w:cs="Browallia New"/>
          <w:sz w:val="28"/>
          <w:szCs w:val="28"/>
        </w:rPr>
        <w:t>In 2017, 43%</w:t>
      </w:r>
      <w:r w:rsidRPr="00B57E24">
        <w:rPr>
          <w:rFonts w:ascii="Browallia New" w:hAnsi="Browallia New" w:cs="Browallia New"/>
          <w:sz w:val="28"/>
          <w:szCs w:val="28"/>
        </w:rPr>
        <w:t xml:space="preserve"> of the organizations now maintain enterprise-level</w:t>
      </w:r>
      <w:r w:rsidR="00431ADF" w:rsidRPr="00B57E24">
        <w:rPr>
          <w:rFonts w:ascii="Browallia New" w:hAnsi="Browallia New" w:cs="Browallia New"/>
          <w:sz w:val="28"/>
          <w:szCs w:val="28"/>
        </w:rPr>
        <w:t xml:space="preserve"> risk inventories compared to </w:t>
      </w:r>
      <w:r w:rsidR="00E9639E" w:rsidRPr="00B57E24">
        <w:rPr>
          <w:rFonts w:ascii="Browallia New" w:hAnsi="Browallia New" w:cs="Browallia New"/>
          <w:sz w:val="28"/>
          <w:szCs w:val="28"/>
        </w:rPr>
        <w:t>36</w:t>
      </w:r>
      <w:r w:rsidRPr="00B57E24">
        <w:rPr>
          <w:rFonts w:ascii="Browallia New" w:hAnsi="Browallia New" w:cs="Browallia New"/>
          <w:sz w:val="28"/>
          <w:szCs w:val="28"/>
        </w:rPr>
        <w:t xml:space="preserve">% </w:t>
      </w:r>
      <w:r w:rsidR="00E9639E" w:rsidRPr="00B57E24">
        <w:rPr>
          <w:rFonts w:ascii="Browallia New" w:hAnsi="Browallia New" w:cs="Browallia New"/>
          <w:sz w:val="28"/>
          <w:szCs w:val="28"/>
        </w:rPr>
        <w:t>two years ago</w:t>
      </w:r>
      <w:r w:rsidRPr="00B57E24">
        <w:rPr>
          <w:rFonts w:ascii="Browallia New" w:hAnsi="Browallia New" w:cs="Browallia New"/>
          <w:sz w:val="28"/>
          <w:szCs w:val="28"/>
        </w:rPr>
        <w:t xml:space="preserve">. </w:t>
      </w:r>
      <w:r w:rsidR="00A45F1C">
        <w:rPr>
          <w:rFonts w:ascii="Browallia New" w:hAnsi="Browallia New" w:cs="Browallia New"/>
          <w:sz w:val="28"/>
          <w:szCs w:val="28"/>
        </w:rPr>
        <w:t xml:space="preserve">When compared to 2009, we </w:t>
      </w:r>
      <w:proofErr w:type="gramStart"/>
      <w:r w:rsidR="00A45F1C">
        <w:rPr>
          <w:rFonts w:ascii="Browallia New" w:hAnsi="Browallia New" w:cs="Browallia New"/>
          <w:sz w:val="28"/>
          <w:szCs w:val="28"/>
        </w:rPr>
        <w:t>definitely see</w:t>
      </w:r>
      <w:proofErr w:type="gramEnd"/>
      <w:r w:rsidR="00A45F1C">
        <w:rPr>
          <w:rFonts w:ascii="Browallia New" w:hAnsi="Browallia New" w:cs="Browallia New"/>
          <w:sz w:val="28"/>
          <w:szCs w:val="28"/>
        </w:rPr>
        <w:t xml:space="preserve"> more awareness of the importance of maintaining an understanding of the universe of risks facing the organization</w:t>
      </w:r>
      <w:r w:rsidRPr="00B57E24">
        <w:rPr>
          <w:rFonts w:ascii="Browallia New" w:hAnsi="Browallia New" w:cs="Browallia New"/>
          <w:sz w:val="28"/>
          <w:szCs w:val="28"/>
        </w:rPr>
        <w:t>.</w:t>
      </w:r>
    </w:p>
    <w:p w14:paraId="77758C66" w14:textId="77777777" w:rsidR="006F5979" w:rsidRPr="00F46D57" w:rsidRDefault="006F5979" w:rsidP="006F5979">
      <w:pPr>
        <w:rPr>
          <w:rFonts w:ascii="Browallia New" w:hAnsi="Browallia New" w:cs="Browallia New"/>
        </w:rPr>
      </w:pPr>
      <w:r w:rsidRPr="00F46D57">
        <w:rPr>
          <w:rFonts w:ascii="Browallia New" w:hAnsi="Browallia New" w:cs="Browallia New"/>
          <w:noProof/>
        </w:rPr>
        <w:drawing>
          <wp:inline distT="0" distB="0" distL="0" distR="0" wp14:anchorId="4E1A3FC0" wp14:editId="0E20F5DB">
            <wp:extent cx="5917474" cy="2352675"/>
            <wp:effectExtent l="0" t="0" r="7620" b="0"/>
            <wp:docPr id="9" name="Chart 7" descr="Bar chart of organizations maintaing risk inventories at enterprise level from 2009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981D29" w14:textId="77777777" w:rsidR="00944699" w:rsidRDefault="00944699" w:rsidP="00B57E24">
      <w:pPr>
        <w:spacing w:line="204" w:lineRule="auto"/>
        <w:jc w:val="both"/>
        <w:rPr>
          <w:rFonts w:ascii="Browallia New" w:hAnsi="Browallia New" w:cs="Browallia New"/>
          <w:sz w:val="28"/>
          <w:szCs w:val="28"/>
        </w:rPr>
      </w:pPr>
      <w:proofErr w:type="gramStart"/>
      <w:r w:rsidRPr="00B57E24">
        <w:rPr>
          <w:rFonts w:ascii="Browallia New" w:hAnsi="Browallia New" w:cs="Browallia New"/>
          <w:sz w:val="28"/>
          <w:szCs w:val="28"/>
        </w:rPr>
        <w:t>The majority of</w:t>
      </w:r>
      <w:proofErr w:type="gramEnd"/>
      <w:r w:rsidRPr="00B57E24">
        <w:rPr>
          <w:rFonts w:ascii="Browallia New" w:hAnsi="Browallia New" w:cs="Browallia New"/>
          <w:sz w:val="28"/>
          <w:szCs w:val="28"/>
        </w:rPr>
        <w:t xml:space="preserve"> the large organizations (79%) and public companies (80%) have a standardized process or template for identifying and assessing risks, while 66% of the financial services organizations have those kinds of procedures in place. In contrast, only 54% of not-for-profit organizations structure their risk identification and assessment processes in that manner.</w:t>
      </w:r>
    </w:p>
    <w:p w14:paraId="2DA3B4B1"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lastRenderedPageBreak/>
        <w:t xml:space="preserve">A greater percentage of large organizations, public companies, and financial services firms maintain risk inventories at the enterprise level as shown </w:t>
      </w:r>
      <w:r w:rsidR="00944699">
        <w:rPr>
          <w:rFonts w:ascii="Browallia New" w:hAnsi="Browallia New" w:cs="Browallia New"/>
          <w:sz w:val="28"/>
          <w:szCs w:val="28"/>
        </w:rPr>
        <w:t>in the table on the next page</w:t>
      </w:r>
      <w:r w:rsidRPr="00B57E24">
        <w:rPr>
          <w:rFonts w:ascii="Browallia New" w:hAnsi="Browallia New" w:cs="Browallia New"/>
          <w:sz w:val="28"/>
          <w:szCs w:val="28"/>
        </w:rPr>
        <w:t xml:space="preserve">. Fewer not-for-profit organizations do so. </w:t>
      </w:r>
    </w:p>
    <w:tbl>
      <w:tblPr>
        <w:tblStyle w:val="LightList-Accent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38"/>
        <w:gridCol w:w="90"/>
        <w:gridCol w:w="990"/>
        <w:gridCol w:w="1620"/>
        <w:gridCol w:w="1440"/>
        <w:gridCol w:w="1365"/>
        <w:gridCol w:w="1533"/>
      </w:tblGrid>
      <w:tr w:rsidR="006F5979" w:rsidRPr="00F46D57" w14:paraId="303D9886" w14:textId="77777777" w:rsidTr="00E12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thinThickThinLargeGap" w:sz="24" w:space="0" w:color="C48B01" w:themeColor="accent2" w:themeShade="BF"/>
            </w:tcBorders>
            <w:shd w:val="clear" w:color="auto" w:fill="0070C0"/>
          </w:tcPr>
          <w:p w14:paraId="7C57BB72" w14:textId="77777777" w:rsidR="006F5979" w:rsidRPr="00A61A7A" w:rsidRDefault="006F5979" w:rsidP="00DA236B">
            <w:pPr>
              <w:jc w:val="both"/>
              <w:rPr>
                <w:rFonts w:ascii="Browallia New" w:hAnsi="Browallia New" w:cs="Browallia New"/>
                <w:sz w:val="28"/>
                <w:szCs w:val="28"/>
              </w:rPr>
            </w:pPr>
            <w:r w:rsidRPr="00A61A7A">
              <w:rPr>
                <w:rFonts w:ascii="Browallia New" w:hAnsi="Browallia New" w:cs="Browallia New"/>
                <w:sz w:val="28"/>
                <w:szCs w:val="28"/>
              </w:rPr>
              <w:br w:type="page"/>
            </w:r>
          </w:p>
        </w:tc>
        <w:tc>
          <w:tcPr>
            <w:tcW w:w="5505" w:type="dxa"/>
            <w:gridSpan w:val="5"/>
            <w:tcBorders>
              <w:top w:val="thinThickThinLargeGap" w:sz="24" w:space="0" w:color="C48B01" w:themeColor="accent2" w:themeShade="BF"/>
            </w:tcBorders>
            <w:shd w:val="clear" w:color="auto" w:fill="0070C0"/>
          </w:tcPr>
          <w:p w14:paraId="4CBEF9C0" w14:textId="77777777" w:rsidR="006F5979" w:rsidRPr="00A61A7A"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A61A7A">
              <w:rPr>
                <w:rFonts w:ascii="Browallia New" w:hAnsi="Browallia New" w:cs="Browallia New"/>
                <w:sz w:val="28"/>
                <w:szCs w:val="28"/>
              </w:rPr>
              <w:t>Percentage of Respondents</w:t>
            </w:r>
          </w:p>
        </w:tc>
        <w:tc>
          <w:tcPr>
            <w:tcW w:w="1533" w:type="dxa"/>
            <w:tcBorders>
              <w:top w:val="thinThickThinLargeGap" w:sz="24" w:space="0" w:color="C48B01" w:themeColor="accent2" w:themeShade="BF"/>
            </w:tcBorders>
            <w:shd w:val="clear" w:color="auto" w:fill="0070C0"/>
          </w:tcPr>
          <w:p w14:paraId="558025F9" w14:textId="77777777" w:rsidR="006F5979" w:rsidRPr="00A61A7A"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p>
        </w:tc>
      </w:tr>
      <w:tr w:rsidR="00A61A7A" w:rsidRPr="00A61A7A" w14:paraId="73B60418" w14:textId="77777777" w:rsidTr="00A61A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one" w:sz="0" w:space="0" w:color="auto"/>
              <w:left w:val="none" w:sz="0" w:space="0" w:color="auto"/>
              <w:bottom w:val="none" w:sz="0" w:space="0" w:color="auto"/>
            </w:tcBorders>
            <w:shd w:val="clear" w:color="auto" w:fill="FFFFFF" w:themeFill="background1"/>
          </w:tcPr>
          <w:p w14:paraId="46112911" w14:textId="77777777" w:rsidR="006F5979" w:rsidRPr="00A61A7A" w:rsidRDefault="006F5979" w:rsidP="00A61A7A">
            <w:pPr>
              <w:spacing w:line="204" w:lineRule="auto"/>
              <w:rPr>
                <w:rFonts w:ascii="Browallia New" w:hAnsi="Browallia New" w:cs="Browallia New"/>
                <w:color w:val="C48B01" w:themeColor="accent2" w:themeShade="BF"/>
              </w:rPr>
            </w:pPr>
          </w:p>
        </w:tc>
        <w:tc>
          <w:tcPr>
            <w:tcW w:w="990" w:type="dxa"/>
            <w:tcBorders>
              <w:top w:val="none" w:sz="0" w:space="0" w:color="auto"/>
              <w:bottom w:val="none" w:sz="0" w:space="0" w:color="auto"/>
            </w:tcBorders>
            <w:shd w:val="clear" w:color="auto" w:fill="FFFFFF" w:themeFill="background1"/>
          </w:tcPr>
          <w:p w14:paraId="1B614998"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E510C94"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Full </w:t>
            </w:r>
            <w:r w:rsidRPr="003B1178">
              <w:rPr>
                <w:rFonts w:ascii="Browallia New" w:hAnsi="Browallia New" w:cs="Browallia New"/>
                <w:b/>
                <w:u w:val="single"/>
              </w:rPr>
              <w:t>Sample</w:t>
            </w:r>
          </w:p>
        </w:tc>
        <w:tc>
          <w:tcPr>
            <w:tcW w:w="1620" w:type="dxa"/>
            <w:tcBorders>
              <w:top w:val="none" w:sz="0" w:space="0" w:color="auto"/>
              <w:bottom w:val="none" w:sz="0" w:space="0" w:color="auto"/>
            </w:tcBorders>
            <w:shd w:val="clear" w:color="auto" w:fill="FFFFFF" w:themeFill="background1"/>
          </w:tcPr>
          <w:p w14:paraId="065C8B19"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Largest Organizations </w:t>
            </w:r>
            <w:r w:rsidRPr="003B1178">
              <w:rPr>
                <w:rFonts w:ascii="Browallia New" w:hAnsi="Browallia New" w:cs="Browallia New"/>
                <w:b/>
                <w:u w:val="single"/>
              </w:rPr>
              <w:t>(Revenues &gt;$1B)</w:t>
            </w:r>
          </w:p>
        </w:tc>
        <w:tc>
          <w:tcPr>
            <w:tcW w:w="1440" w:type="dxa"/>
            <w:tcBorders>
              <w:top w:val="none" w:sz="0" w:space="0" w:color="auto"/>
              <w:bottom w:val="none" w:sz="0" w:space="0" w:color="auto"/>
            </w:tcBorders>
            <w:shd w:val="clear" w:color="auto" w:fill="FFFFFF" w:themeFill="background1"/>
          </w:tcPr>
          <w:p w14:paraId="2750DEFA"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486ECB1"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Public </w:t>
            </w:r>
            <w:r w:rsidRPr="003B1178">
              <w:rPr>
                <w:rFonts w:ascii="Browallia New" w:hAnsi="Browallia New" w:cs="Browallia New"/>
                <w:b/>
                <w:u w:val="single"/>
              </w:rPr>
              <w:t>Companies</w:t>
            </w:r>
          </w:p>
        </w:tc>
        <w:tc>
          <w:tcPr>
            <w:tcW w:w="1365" w:type="dxa"/>
            <w:tcBorders>
              <w:top w:val="none" w:sz="0" w:space="0" w:color="auto"/>
              <w:bottom w:val="none" w:sz="0" w:space="0" w:color="auto"/>
            </w:tcBorders>
            <w:shd w:val="clear" w:color="auto" w:fill="FFFFFF" w:themeFill="background1"/>
          </w:tcPr>
          <w:p w14:paraId="27333445"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268F91B"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Financial </w:t>
            </w:r>
          </w:p>
          <w:p w14:paraId="402969EF"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 xml:space="preserve">Services </w:t>
            </w:r>
          </w:p>
        </w:tc>
        <w:tc>
          <w:tcPr>
            <w:tcW w:w="1533" w:type="dxa"/>
            <w:tcBorders>
              <w:top w:val="none" w:sz="0" w:space="0" w:color="auto"/>
              <w:bottom w:val="none" w:sz="0" w:space="0" w:color="auto"/>
              <w:right w:val="none" w:sz="0" w:space="0" w:color="auto"/>
            </w:tcBorders>
            <w:shd w:val="clear" w:color="auto" w:fill="FFFFFF" w:themeFill="background1"/>
          </w:tcPr>
          <w:p w14:paraId="0FD1C9AC"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E3288C6" w14:textId="77777777" w:rsidR="006F5979" w:rsidRPr="003B1178" w:rsidRDefault="006F5979" w:rsidP="00A61A7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Not-For-Profit </w:t>
            </w:r>
            <w:r w:rsidRPr="003B1178">
              <w:rPr>
                <w:rFonts w:ascii="Browallia New" w:hAnsi="Browallia New" w:cs="Browallia New"/>
                <w:b/>
                <w:u w:val="single"/>
              </w:rPr>
              <w:t>Organizations</w:t>
            </w:r>
          </w:p>
        </w:tc>
      </w:tr>
      <w:tr w:rsidR="00A61A7A" w:rsidRPr="00A61A7A" w14:paraId="0F76C7B7" w14:textId="77777777" w:rsidTr="00A61A7A">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FFFFFF" w:themeFill="background1"/>
          </w:tcPr>
          <w:p w14:paraId="28C809C7" w14:textId="77777777" w:rsidR="006F5979" w:rsidRPr="003B1178" w:rsidRDefault="006F5979" w:rsidP="00A61A7A">
            <w:pPr>
              <w:spacing w:line="204" w:lineRule="auto"/>
              <w:rPr>
                <w:rFonts w:ascii="Browallia New" w:hAnsi="Browallia New" w:cs="Browallia New"/>
              </w:rPr>
            </w:pPr>
            <w:r w:rsidRPr="003B1178">
              <w:rPr>
                <w:rFonts w:ascii="Browallia New" w:hAnsi="Browallia New" w:cs="Browallia New"/>
              </w:rPr>
              <w:t xml:space="preserve">Percentage that </w:t>
            </w:r>
            <w:proofErr w:type="gramStart"/>
            <w:r w:rsidRPr="003B1178">
              <w:rPr>
                <w:rFonts w:ascii="Browallia New" w:hAnsi="Browallia New" w:cs="Browallia New"/>
              </w:rPr>
              <w:t>maintain</w:t>
            </w:r>
            <w:proofErr w:type="gramEnd"/>
            <w:r w:rsidRPr="003B1178">
              <w:rPr>
                <w:rFonts w:ascii="Browallia New" w:hAnsi="Browallia New" w:cs="Browallia New"/>
              </w:rPr>
              <w:t xml:space="preserve"> risk inventories at enterprise level</w:t>
            </w:r>
          </w:p>
        </w:tc>
        <w:tc>
          <w:tcPr>
            <w:tcW w:w="990" w:type="dxa"/>
            <w:shd w:val="clear" w:color="auto" w:fill="FFFFFF" w:themeFill="background1"/>
          </w:tcPr>
          <w:p w14:paraId="1D2BD0EA" w14:textId="77777777" w:rsidR="006F5979" w:rsidRPr="003B1178" w:rsidRDefault="00F32986" w:rsidP="00A61A7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43%</w:t>
            </w:r>
          </w:p>
        </w:tc>
        <w:tc>
          <w:tcPr>
            <w:tcW w:w="1620" w:type="dxa"/>
            <w:shd w:val="clear" w:color="auto" w:fill="FFFFFF" w:themeFill="background1"/>
          </w:tcPr>
          <w:p w14:paraId="34FA6EA2" w14:textId="77777777" w:rsidR="006F5979" w:rsidRPr="003B1178" w:rsidRDefault="00F32986" w:rsidP="00A61A7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58%</w:t>
            </w:r>
          </w:p>
        </w:tc>
        <w:tc>
          <w:tcPr>
            <w:tcW w:w="1440" w:type="dxa"/>
            <w:shd w:val="clear" w:color="auto" w:fill="FFFFFF" w:themeFill="background1"/>
          </w:tcPr>
          <w:p w14:paraId="06731D96" w14:textId="77777777" w:rsidR="006F5979" w:rsidRPr="003B1178" w:rsidRDefault="00F32986" w:rsidP="00A61A7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62%</w:t>
            </w:r>
          </w:p>
        </w:tc>
        <w:tc>
          <w:tcPr>
            <w:tcW w:w="1365" w:type="dxa"/>
            <w:shd w:val="clear" w:color="auto" w:fill="FFFFFF" w:themeFill="background1"/>
          </w:tcPr>
          <w:p w14:paraId="0942CA14" w14:textId="77777777" w:rsidR="006F5979" w:rsidRPr="003B1178" w:rsidRDefault="00F32986" w:rsidP="00A61A7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58%</w:t>
            </w:r>
          </w:p>
        </w:tc>
        <w:tc>
          <w:tcPr>
            <w:tcW w:w="1533" w:type="dxa"/>
            <w:shd w:val="clear" w:color="auto" w:fill="FFFFFF" w:themeFill="background1"/>
          </w:tcPr>
          <w:p w14:paraId="624F18C9" w14:textId="77777777" w:rsidR="006F5979" w:rsidRPr="003B1178" w:rsidRDefault="00F32986" w:rsidP="00A61A7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48%</w:t>
            </w:r>
          </w:p>
        </w:tc>
      </w:tr>
    </w:tbl>
    <w:p w14:paraId="5AD87226" w14:textId="77777777" w:rsidR="006F5979" w:rsidRPr="00A61A7A" w:rsidRDefault="006F5979" w:rsidP="00A61A7A">
      <w:pPr>
        <w:spacing w:after="0" w:line="204" w:lineRule="auto"/>
        <w:jc w:val="both"/>
        <w:rPr>
          <w:rFonts w:ascii="Browallia New" w:hAnsi="Browallia New" w:cs="Browallia New"/>
          <w:b/>
          <w:color w:val="C48B01" w:themeColor="accent2" w:themeShade="BF"/>
        </w:rPr>
      </w:pPr>
    </w:p>
    <w:p w14:paraId="3C9FFE43" w14:textId="77777777" w:rsidR="001A2BB4" w:rsidRDefault="001A2BB4" w:rsidP="001A2BB4">
      <w:pPr>
        <w:spacing w:line="204" w:lineRule="auto"/>
        <w:jc w:val="both"/>
        <w:rPr>
          <w:rFonts w:ascii="Browallia New" w:hAnsi="Browallia New" w:cs="Browallia New"/>
          <w:sz w:val="28"/>
          <w:szCs w:val="28"/>
        </w:rPr>
      </w:pPr>
      <w:r w:rsidRPr="00B57E24">
        <w:rPr>
          <w:rFonts w:ascii="Browallia New" w:hAnsi="Browallia New" w:cs="Browallia New"/>
          <w:sz w:val="28"/>
          <w:szCs w:val="28"/>
        </w:rPr>
        <w:t>We also asked whether organizations go through a dedicated process to update their key risk inventories. As shown in the table below, there is substantial variation as to whether they go through an update process. But, when they do update their risk inventories, it is generally done annually, although a noticeable percentage of organizations update their risk inventories quarterly or semi-annually.</w:t>
      </w:r>
    </w:p>
    <w:p w14:paraId="18BC8179" w14:textId="12BFB2BC" w:rsidR="00F6494D" w:rsidRPr="00F6494D" w:rsidRDefault="00F6494D" w:rsidP="001A2BB4">
      <w:pPr>
        <w:spacing w:line="204" w:lineRule="auto"/>
        <w:jc w:val="both"/>
        <w:rPr>
          <w:rStyle w:val="IntenseReference"/>
          <w:color w:val="auto"/>
        </w:rPr>
      </w:pPr>
      <w:r w:rsidRPr="00F6494D">
        <w:rPr>
          <w:rStyle w:val="IntenseReference"/>
          <w:color w:val="auto"/>
        </w:rPr>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900"/>
        <w:gridCol w:w="1710"/>
        <w:gridCol w:w="1008"/>
        <w:gridCol w:w="1502"/>
        <w:gridCol w:w="1486"/>
      </w:tblGrid>
      <w:tr w:rsidR="001A2BB4" w:rsidRPr="00356542" w14:paraId="26B415AA"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6A6A6" w:themeFill="background1" w:themeFillShade="A6"/>
          </w:tcPr>
          <w:p w14:paraId="56ED9900" w14:textId="77777777" w:rsidR="001A2BB4" w:rsidRPr="003B1178" w:rsidRDefault="001A2BB4" w:rsidP="00660F65">
            <w:pPr>
              <w:spacing w:line="204" w:lineRule="auto"/>
              <w:rPr>
                <w:rFonts w:ascii="Browallia New" w:hAnsi="Browallia New" w:cs="Browallia New"/>
                <w:color w:val="auto"/>
              </w:rPr>
            </w:pPr>
          </w:p>
          <w:p w14:paraId="74136732" w14:textId="77777777" w:rsidR="001A2BB4" w:rsidRPr="003B1178" w:rsidRDefault="001A2BB4" w:rsidP="00660F65">
            <w:pPr>
              <w:spacing w:line="204" w:lineRule="auto"/>
              <w:rPr>
                <w:rFonts w:ascii="Browallia New" w:hAnsi="Browallia New" w:cs="Browallia New"/>
                <w:color w:val="auto"/>
              </w:rPr>
            </w:pPr>
            <w:r w:rsidRPr="003B1178">
              <w:rPr>
                <w:rFonts w:ascii="Browallia New" w:hAnsi="Browallia New" w:cs="Browallia New"/>
                <w:color w:val="auto"/>
              </w:rPr>
              <w:t xml:space="preserve">Frequency of Going Through Process to </w:t>
            </w:r>
            <w:r w:rsidRPr="003B1178">
              <w:rPr>
                <w:rFonts w:ascii="Browallia New" w:hAnsi="Browallia New" w:cs="Browallia New"/>
                <w:color w:val="auto"/>
                <w:u w:val="single"/>
              </w:rPr>
              <w:t>Update Key Risk Inventories</w:t>
            </w:r>
          </w:p>
        </w:tc>
        <w:tc>
          <w:tcPr>
            <w:tcW w:w="900" w:type="dxa"/>
            <w:shd w:val="clear" w:color="auto" w:fill="A6A6A6" w:themeFill="background1" w:themeFillShade="A6"/>
          </w:tcPr>
          <w:p w14:paraId="276ACCF8"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7461DD6"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67F3691D"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710" w:type="dxa"/>
            <w:shd w:val="clear" w:color="auto" w:fill="A6A6A6" w:themeFill="background1" w:themeFillShade="A6"/>
          </w:tcPr>
          <w:p w14:paraId="00147D98"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r w:rsidRPr="003B1178">
              <w:rPr>
                <w:rFonts w:ascii="Browallia New" w:hAnsi="Browallia New" w:cs="Browallia New"/>
                <w:color w:val="auto"/>
                <w:u w:val="single"/>
              </w:rPr>
              <w:t>(Revenues &gt;$1B)</w:t>
            </w:r>
          </w:p>
        </w:tc>
        <w:tc>
          <w:tcPr>
            <w:tcW w:w="1008" w:type="dxa"/>
            <w:shd w:val="clear" w:color="auto" w:fill="A6A6A6" w:themeFill="background1" w:themeFillShade="A6"/>
          </w:tcPr>
          <w:p w14:paraId="2D22CD98"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2B35FB7D"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502" w:type="dxa"/>
            <w:shd w:val="clear" w:color="auto" w:fill="A6A6A6" w:themeFill="background1" w:themeFillShade="A6"/>
          </w:tcPr>
          <w:p w14:paraId="50FDC586"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328F7AB9"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4563EB44"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486" w:type="dxa"/>
            <w:shd w:val="clear" w:color="auto" w:fill="A6A6A6" w:themeFill="background1" w:themeFillShade="A6"/>
          </w:tcPr>
          <w:p w14:paraId="2545644D"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72259438" w14:textId="77777777" w:rsidR="001A2BB4" w:rsidRPr="003B1178" w:rsidRDefault="001A2BB4" w:rsidP="00660F65">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1A2BB4" w:rsidRPr="00356542" w14:paraId="2BBCBC48"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left w:val="none" w:sz="0" w:space="0" w:color="auto"/>
              <w:bottom w:val="none" w:sz="0" w:space="0" w:color="auto"/>
            </w:tcBorders>
            <w:shd w:val="clear" w:color="auto" w:fill="FFFFFF" w:themeFill="background1"/>
          </w:tcPr>
          <w:p w14:paraId="65AFF532" w14:textId="77777777" w:rsidR="001A2BB4" w:rsidRPr="003B1178" w:rsidRDefault="001A2BB4" w:rsidP="00660F65">
            <w:pPr>
              <w:spacing w:line="204" w:lineRule="auto"/>
              <w:rPr>
                <w:rFonts w:ascii="Browallia New" w:hAnsi="Browallia New" w:cs="Browallia New"/>
              </w:rPr>
            </w:pPr>
          </w:p>
          <w:p w14:paraId="2A5E6239" w14:textId="77777777" w:rsidR="001A2BB4" w:rsidRPr="003B1178" w:rsidRDefault="001A2BB4" w:rsidP="00660F65">
            <w:pPr>
              <w:spacing w:line="204" w:lineRule="auto"/>
              <w:rPr>
                <w:rFonts w:ascii="Browallia New" w:hAnsi="Browallia New" w:cs="Browallia New"/>
              </w:rPr>
            </w:pPr>
            <w:r w:rsidRPr="003B1178">
              <w:rPr>
                <w:rFonts w:ascii="Browallia New" w:hAnsi="Browallia New" w:cs="Browallia New"/>
              </w:rPr>
              <w:t>Not at all</w:t>
            </w:r>
          </w:p>
        </w:tc>
        <w:tc>
          <w:tcPr>
            <w:tcW w:w="900" w:type="dxa"/>
            <w:tcBorders>
              <w:top w:val="none" w:sz="0" w:space="0" w:color="auto"/>
              <w:bottom w:val="none" w:sz="0" w:space="0" w:color="auto"/>
            </w:tcBorders>
            <w:shd w:val="clear" w:color="auto" w:fill="FFFFFF" w:themeFill="background1"/>
          </w:tcPr>
          <w:p w14:paraId="01EADD22"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A320C36"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25%</w:t>
            </w:r>
          </w:p>
        </w:tc>
        <w:tc>
          <w:tcPr>
            <w:tcW w:w="1710" w:type="dxa"/>
            <w:tcBorders>
              <w:top w:val="none" w:sz="0" w:space="0" w:color="auto"/>
              <w:bottom w:val="none" w:sz="0" w:space="0" w:color="auto"/>
            </w:tcBorders>
            <w:shd w:val="clear" w:color="auto" w:fill="FFFFFF" w:themeFill="background1"/>
          </w:tcPr>
          <w:p w14:paraId="5D0B4990"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1511F0E8"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c>
          <w:tcPr>
            <w:tcW w:w="1008" w:type="dxa"/>
            <w:tcBorders>
              <w:top w:val="none" w:sz="0" w:space="0" w:color="auto"/>
              <w:bottom w:val="none" w:sz="0" w:space="0" w:color="auto"/>
            </w:tcBorders>
            <w:shd w:val="clear" w:color="auto" w:fill="FFFFFF" w:themeFill="background1"/>
          </w:tcPr>
          <w:p w14:paraId="6C53B4B8"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248D8C6"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w:t>
            </w:r>
          </w:p>
        </w:tc>
        <w:tc>
          <w:tcPr>
            <w:tcW w:w="1502" w:type="dxa"/>
            <w:tcBorders>
              <w:top w:val="none" w:sz="0" w:space="0" w:color="auto"/>
              <w:bottom w:val="none" w:sz="0" w:space="0" w:color="auto"/>
            </w:tcBorders>
            <w:shd w:val="clear" w:color="auto" w:fill="FFFFFF" w:themeFill="background1"/>
          </w:tcPr>
          <w:p w14:paraId="1FB10D5B"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65A2556"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10%</w:t>
            </w:r>
          </w:p>
        </w:tc>
        <w:tc>
          <w:tcPr>
            <w:tcW w:w="1486" w:type="dxa"/>
            <w:tcBorders>
              <w:top w:val="none" w:sz="0" w:space="0" w:color="auto"/>
              <w:bottom w:val="none" w:sz="0" w:space="0" w:color="auto"/>
              <w:right w:val="none" w:sz="0" w:space="0" w:color="auto"/>
            </w:tcBorders>
            <w:shd w:val="clear" w:color="auto" w:fill="FFFFFF" w:themeFill="background1"/>
          </w:tcPr>
          <w:p w14:paraId="2B5746CF"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4E44429F"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29%</w:t>
            </w:r>
          </w:p>
        </w:tc>
      </w:tr>
      <w:tr w:rsidR="001A2BB4" w:rsidRPr="00356542" w14:paraId="5D19E3FF" w14:textId="77777777" w:rsidTr="00F6494D">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028FECED" w14:textId="77777777" w:rsidR="001A2BB4" w:rsidRPr="003B1178" w:rsidRDefault="001A2BB4" w:rsidP="00660F65">
            <w:pPr>
              <w:spacing w:line="204" w:lineRule="auto"/>
              <w:rPr>
                <w:rFonts w:ascii="Browallia New" w:hAnsi="Browallia New" w:cs="Browallia New"/>
              </w:rPr>
            </w:pPr>
            <w:r w:rsidRPr="003B1178">
              <w:rPr>
                <w:rFonts w:ascii="Browallia New" w:hAnsi="Browallia New" w:cs="Browallia New"/>
              </w:rPr>
              <w:t>Annually</w:t>
            </w:r>
          </w:p>
        </w:tc>
        <w:tc>
          <w:tcPr>
            <w:tcW w:w="900" w:type="dxa"/>
            <w:shd w:val="clear" w:color="auto" w:fill="FFFFFF" w:themeFill="background1"/>
          </w:tcPr>
          <w:p w14:paraId="6681009C"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36%</w:t>
            </w:r>
          </w:p>
        </w:tc>
        <w:tc>
          <w:tcPr>
            <w:tcW w:w="1710" w:type="dxa"/>
            <w:shd w:val="clear" w:color="auto" w:fill="FFFFFF" w:themeFill="background1"/>
          </w:tcPr>
          <w:p w14:paraId="7E014992"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51%</w:t>
            </w:r>
          </w:p>
        </w:tc>
        <w:tc>
          <w:tcPr>
            <w:tcW w:w="1008" w:type="dxa"/>
            <w:shd w:val="clear" w:color="auto" w:fill="FFFFFF" w:themeFill="background1"/>
          </w:tcPr>
          <w:p w14:paraId="12706246"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41%</w:t>
            </w:r>
          </w:p>
        </w:tc>
        <w:tc>
          <w:tcPr>
            <w:tcW w:w="1502" w:type="dxa"/>
            <w:shd w:val="clear" w:color="auto" w:fill="FFFFFF" w:themeFill="background1"/>
          </w:tcPr>
          <w:p w14:paraId="7C76D132"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486" w:type="dxa"/>
            <w:shd w:val="clear" w:color="auto" w:fill="FFFFFF" w:themeFill="background1"/>
          </w:tcPr>
          <w:p w14:paraId="75446D16"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45%</w:t>
            </w:r>
          </w:p>
        </w:tc>
      </w:tr>
      <w:tr w:rsidR="001A2BB4" w:rsidRPr="00356542" w14:paraId="5FE459E4"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left w:val="none" w:sz="0" w:space="0" w:color="auto"/>
              <w:bottom w:val="none" w:sz="0" w:space="0" w:color="auto"/>
            </w:tcBorders>
            <w:shd w:val="clear" w:color="auto" w:fill="FFFFFF" w:themeFill="background1"/>
          </w:tcPr>
          <w:p w14:paraId="454C82FB" w14:textId="77777777" w:rsidR="001A2BB4" w:rsidRPr="003B1178" w:rsidRDefault="001A2BB4" w:rsidP="00660F65">
            <w:pPr>
              <w:spacing w:line="204" w:lineRule="auto"/>
              <w:rPr>
                <w:rFonts w:ascii="Browallia New" w:hAnsi="Browallia New" w:cs="Browallia New"/>
              </w:rPr>
            </w:pPr>
            <w:r w:rsidRPr="003B1178">
              <w:rPr>
                <w:rFonts w:ascii="Browallia New" w:hAnsi="Browallia New" w:cs="Browallia New"/>
              </w:rPr>
              <w:t>Semi-Annually</w:t>
            </w:r>
          </w:p>
        </w:tc>
        <w:tc>
          <w:tcPr>
            <w:tcW w:w="900" w:type="dxa"/>
            <w:tcBorders>
              <w:top w:val="none" w:sz="0" w:space="0" w:color="auto"/>
              <w:bottom w:val="none" w:sz="0" w:space="0" w:color="auto"/>
            </w:tcBorders>
            <w:shd w:val="clear" w:color="auto" w:fill="FFFFFF" w:themeFill="background1"/>
          </w:tcPr>
          <w:p w14:paraId="2349ACC1"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12%</w:t>
            </w:r>
          </w:p>
        </w:tc>
        <w:tc>
          <w:tcPr>
            <w:tcW w:w="1710" w:type="dxa"/>
            <w:tcBorders>
              <w:top w:val="none" w:sz="0" w:space="0" w:color="auto"/>
              <w:bottom w:val="none" w:sz="0" w:space="0" w:color="auto"/>
            </w:tcBorders>
            <w:shd w:val="clear" w:color="auto" w:fill="FFFFFF" w:themeFill="background1"/>
          </w:tcPr>
          <w:p w14:paraId="5C752C39"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12%</w:t>
            </w:r>
          </w:p>
        </w:tc>
        <w:tc>
          <w:tcPr>
            <w:tcW w:w="1008" w:type="dxa"/>
            <w:tcBorders>
              <w:top w:val="none" w:sz="0" w:space="0" w:color="auto"/>
              <w:bottom w:val="none" w:sz="0" w:space="0" w:color="auto"/>
            </w:tcBorders>
            <w:shd w:val="clear" w:color="auto" w:fill="FFFFFF" w:themeFill="background1"/>
          </w:tcPr>
          <w:p w14:paraId="162E64D2"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13%</w:t>
            </w:r>
          </w:p>
        </w:tc>
        <w:tc>
          <w:tcPr>
            <w:tcW w:w="1502" w:type="dxa"/>
            <w:tcBorders>
              <w:top w:val="none" w:sz="0" w:space="0" w:color="auto"/>
              <w:bottom w:val="none" w:sz="0" w:space="0" w:color="auto"/>
            </w:tcBorders>
            <w:shd w:val="clear" w:color="auto" w:fill="FFFFFF" w:themeFill="background1"/>
          </w:tcPr>
          <w:p w14:paraId="0CDE852A"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14%</w:t>
            </w:r>
          </w:p>
        </w:tc>
        <w:tc>
          <w:tcPr>
            <w:tcW w:w="1486" w:type="dxa"/>
            <w:tcBorders>
              <w:top w:val="none" w:sz="0" w:space="0" w:color="auto"/>
              <w:bottom w:val="none" w:sz="0" w:space="0" w:color="auto"/>
              <w:right w:val="none" w:sz="0" w:space="0" w:color="auto"/>
            </w:tcBorders>
            <w:shd w:val="clear" w:color="auto" w:fill="FFFFFF" w:themeFill="background1"/>
          </w:tcPr>
          <w:p w14:paraId="4FA74A90"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r>
      <w:tr w:rsidR="001A2BB4" w:rsidRPr="00356542" w14:paraId="1CDC99B0" w14:textId="77777777" w:rsidTr="00F6494D">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56596907" w14:textId="77777777" w:rsidR="001A2BB4" w:rsidRPr="003B1178" w:rsidRDefault="001A2BB4" w:rsidP="00660F65">
            <w:pPr>
              <w:spacing w:line="204" w:lineRule="auto"/>
              <w:rPr>
                <w:rFonts w:ascii="Browallia New" w:hAnsi="Browallia New" w:cs="Browallia New"/>
              </w:rPr>
            </w:pPr>
            <w:r w:rsidRPr="003B1178">
              <w:rPr>
                <w:rFonts w:ascii="Browallia New" w:hAnsi="Browallia New" w:cs="Browallia New"/>
              </w:rPr>
              <w:t>Quarterly</w:t>
            </w:r>
          </w:p>
        </w:tc>
        <w:tc>
          <w:tcPr>
            <w:tcW w:w="900" w:type="dxa"/>
            <w:shd w:val="clear" w:color="auto" w:fill="FFFFFF" w:themeFill="background1"/>
          </w:tcPr>
          <w:p w14:paraId="3F1F0C48"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19%</w:t>
            </w:r>
          </w:p>
        </w:tc>
        <w:tc>
          <w:tcPr>
            <w:tcW w:w="1710" w:type="dxa"/>
            <w:shd w:val="clear" w:color="auto" w:fill="FFFFFF" w:themeFill="background1"/>
          </w:tcPr>
          <w:p w14:paraId="2526FEB9"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19%</w:t>
            </w:r>
          </w:p>
        </w:tc>
        <w:tc>
          <w:tcPr>
            <w:tcW w:w="1008" w:type="dxa"/>
            <w:shd w:val="clear" w:color="auto" w:fill="FFFFFF" w:themeFill="background1"/>
          </w:tcPr>
          <w:p w14:paraId="6406CD81"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30%</w:t>
            </w:r>
          </w:p>
        </w:tc>
        <w:tc>
          <w:tcPr>
            <w:tcW w:w="1502" w:type="dxa"/>
            <w:shd w:val="clear" w:color="auto" w:fill="FFFFFF" w:themeFill="background1"/>
          </w:tcPr>
          <w:p w14:paraId="7406C6F2"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27%</w:t>
            </w:r>
          </w:p>
        </w:tc>
        <w:tc>
          <w:tcPr>
            <w:tcW w:w="1486" w:type="dxa"/>
            <w:shd w:val="clear" w:color="auto" w:fill="FFFFFF" w:themeFill="background1"/>
          </w:tcPr>
          <w:p w14:paraId="430B2022" w14:textId="77777777" w:rsidR="001A2BB4" w:rsidRPr="003B1178" w:rsidRDefault="001A2BB4" w:rsidP="00660F65">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r>
      <w:tr w:rsidR="001A2BB4" w:rsidRPr="00356542" w14:paraId="0CCA967B"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left w:val="none" w:sz="0" w:space="0" w:color="auto"/>
              <w:bottom w:val="none" w:sz="0" w:space="0" w:color="auto"/>
            </w:tcBorders>
            <w:shd w:val="clear" w:color="auto" w:fill="FFFFFF" w:themeFill="background1"/>
          </w:tcPr>
          <w:p w14:paraId="5600A68A" w14:textId="77777777" w:rsidR="001A2BB4" w:rsidRPr="003B1178" w:rsidRDefault="001A2BB4" w:rsidP="00660F65">
            <w:pPr>
              <w:spacing w:line="204" w:lineRule="auto"/>
              <w:rPr>
                <w:rFonts w:ascii="Browallia New" w:hAnsi="Browallia New" w:cs="Browallia New"/>
              </w:rPr>
            </w:pPr>
            <w:r w:rsidRPr="003B1178">
              <w:rPr>
                <w:rFonts w:ascii="Browallia New" w:hAnsi="Browallia New" w:cs="Browallia New"/>
              </w:rPr>
              <w:t>Monthly, Weekly, or Daily</w:t>
            </w:r>
          </w:p>
        </w:tc>
        <w:tc>
          <w:tcPr>
            <w:tcW w:w="900" w:type="dxa"/>
            <w:tcBorders>
              <w:top w:val="none" w:sz="0" w:space="0" w:color="auto"/>
              <w:bottom w:val="none" w:sz="0" w:space="0" w:color="auto"/>
            </w:tcBorders>
            <w:shd w:val="clear" w:color="auto" w:fill="FFFFFF" w:themeFill="background1"/>
          </w:tcPr>
          <w:p w14:paraId="7201DF69"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w:t>
            </w:r>
          </w:p>
        </w:tc>
        <w:tc>
          <w:tcPr>
            <w:tcW w:w="1710" w:type="dxa"/>
            <w:tcBorders>
              <w:top w:val="none" w:sz="0" w:space="0" w:color="auto"/>
              <w:bottom w:val="none" w:sz="0" w:space="0" w:color="auto"/>
            </w:tcBorders>
            <w:shd w:val="clear" w:color="auto" w:fill="FFFFFF" w:themeFill="background1"/>
          </w:tcPr>
          <w:p w14:paraId="4CE4B2D5"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w:t>
            </w:r>
          </w:p>
        </w:tc>
        <w:tc>
          <w:tcPr>
            <w:tcW w:w="1008" w:type="dxa"/>
            <w:tcBorders>
              <w:top w:val="none" w:sz="0" w:space="0" w:color="auto"/>
              <w:bottom w:val="none" w:sz="0" w:space="0" w:color="auto"/>
            </w:tcBorders>
            <w:shd w:val="clear" w:color="auto" w:fill="FFFFFF" w:themeFill="background1"/>
          </w:tcPr>
          <w:p w14:paraId="7CAD8099"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9%</w:t>
            </w:r>
          </w:p>
        </w:tc>
        <w:tc>
          <w:tcPr>
            <w:tcW w:w="1502" w:type="dxa"/>
            <w:tcBorders>
              <w:top w:val="none" w:sz="0" w:space="0" w:color="auto"/>
              <w:bottom w:val="none" w:sz="0" w:space="0" w:color="auto"/>
            </w:tcBorders>
            <w:shd w:val="clear" w:color="auto" w:fill="FFFFFF" w:themeFill="background1"/>
          </w:tcPr>
          <w:p w14:paraId="272B6B04" w14:textId="77777777" w:rsidR="001A2BB4" w:rsidRPr="003B1178" w:rsidRDefault="001A2BB4" w:rsidP="00660F65">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10%</w:t>
            </w:r>
          </w:p>
        </w:tc>
        <w:tc>
          <w:tcPr>
            <w:tcW w:w="1486" w:type="dxa"/>
            <w:tcBorders>
              <w:top w:val="none" w:sz="0" w:space="0" w:color="auto"/>
              <w:bottom w:val="none" w:sz="0" w:space="0" w:color="auto"/>
              <w:right w:val="none" w:sz="0" w:space="0" w:color="auto"/>
            </w:tcBorders>
            <w:shd w:val="clear" w:color="auto" w:fill="FFFFFF" w:themeFill="background1"/>
          </w:tcPr>
          <w:p w14:paraId="47B52EA0" w14:textId="77777777" w:rsidR="001A2BB4" w:rsidRPr="003B1178" w:rsidRDefault="001A2BB4" w:rsidP="00660F65">
            <w:pPr>
              <w:spacing w:after="120"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w:t>
            </w:r>
          </w:p>
        </w:tc>
      </w:tr>
    </w:tbl>
    <w:p w14:paraId="52FBA4CE" w14:textId="77777777" w:rsidR="00944699" w:rsidRPr="00B57E24" w:rsidRDefault="00944699" w:rsidP="00944699">
      <w:pPr>
        <w:spacing w:before="120" w:line="204" w:lineRule="auto"/>
        <w:jc w:val="both"/>
        <w:rPr>
          <w:rFonts w:ascii="Browallia New" w:hAnsi="Browallia New" w:cs="Browallia New"/>
          <w:sz w:val="28"/>
          <w:szCs w:val="28"/>
        </w:rPr>
      </w:pPr>
      <w:r>
        <w:rPr>
          <w:rFonts w:ascii="Browallia New" w:hAnsi="Browallia New" w:cs="Browallia New"/>
          <w:sz w:val="28"/>
          <w:szCs w:val="28"/>
        </w:rPr>
        <w:t>Half</w:t>
      </w:r>
      <w:r w:rsidRPr="00B57E24">
        <w:rPr>
          <w:rFonts w:ascii="Browallia New" w:hAnsi="Browallia New" w:cs="Browallia New"/>
          <w:sz w:val="28"/>
          <w:szCs w:val="28"/>
        </w:rPr>
        <w:t xml:space="preserve"> (</w:t>
      </w:r>
      <w:r>
        <w:rPr>
          <w:rFonts w:ascii="Browallia New" w:hAnsi="Browallia New" w:cs="Browallia New"/>
          <w:sz w:val="28"/>
          <w:szCs w:val="28"/>
        </w:rPr>
        <w:t>50%</w:t>
      </w:r>
      <w:r w:rsidRPr="00B57E24">
        <w:rPr>
          <w:rFonts w:ascii="Browallia New" w:hAnsi="Browallia New" w:cs="Browallia New"/>
          <w:sz w:val="28"/>
          <w:szCs w:val="28"/>
        </w:rPr>
        <w:t xml:space="preserve">) of the full sample has formally defined the meaning of the term “risk” for employees to use as they identify and assess key risks. When they do so, 28% focus their definition on “downside” risks (threats to the organization) and </w:t>
      </w:r>
      <w:r>
        <w:rPr>
          <w:rFonts w:ascii="Browallia New" w:hAnsi="Browallia New" w:cs="Browallia New"/>
          <w:sz w:val="28"/>
          <w:szCs w:val="28"/>
        </w:rPr>
        <w:t>just over</w:t>
      </w:r>
      <w:r w:rsidRPr="00B57E24">
        <w:rPr>
          <w:rFonts w:ascii="Browallia New" w:hAnsi="Browallia New" w:cs="Browallia New"/>
          <w:sz w:val="28"/>
          <w:szCs w:val="28"/>
        </w:rPr>
        <w:t xml:space="preserve"> one-third </w:t>
      </w:r>
      <w:r>
        <w:rPr>
          <w:rFonts w:ascii="Browallia New" w:hAnsi="Browallia New" w:cs="Browallia New"/>
          <w:sz w:val="28"/>
          <w:szCs w:val="28"/>
        </w:rPr>
        <w:t xml:space="preserve">(37%) </w:t>
      </w:r>
      <w:r w:rsidRPr="00B57E24">
        <w:rPr>
          <w:rFonts w:ascii="Browallia New" w:hAnsi="Browallia New" w:cs="Browallia New"/>
          <w:sz w:val="28"/>
          <w:szCs w:val="28"/>
        </w:rPr>
        <w:t xml:space="preserve">focus on both the “upside” (opportunities for the organization) and “downside” of risk. </w:t>
      </w:r>
    </w:p>
    <w:p w14:paraId="1AEE4E8D" w14:textId="77777777" w:rsidR="006F5979" w:rsidRDefault="00A61A7A" w:rsidP="00B57E24">
      <w:pPr>
        <w:spacing w:line="204" w:lineRule="auto"/>
        <w:jc w:val="both"/>
        <w:rPr>
          <w:rFonts w:ascii="Browallia New" w:hAnsi="Browallia New" w:cs="Browallia New"/>
          <w:sz w:val="28"/>
          <w:szCs w:val="28"/>
        </w:rPr>
      </w:pPr>
      <w:r w:rsidRPr="00AF7584">
        <w:rPr>
          <w:rFonts w:ascii="Browallia New" w:hAnsi="Browallia New" w:cs="Browallia New"/>
          <w:sz w:val="28"/>
          <w:szCs w:val="28"/>
        </w:rPr>
        <w:t>About 40%</w:t>
      </w:r>
      <w:r w:rsidR="006F5979" w:rsidRPr="00AF7584">
        <w:rPr>
          <w:rFonts w:ascii="Browallia New" w:hAnsi="Browallia New" w:cs="Browallia New"/>
          <w:sz w:val="28"/>
          <w:szCs w:val="28"/>
        </w:rPr>
        <w:t xml:space="preserve"> of the full sample provide</w:t>
      </w:r>
      <w:r w:rsidRPr="00AF7584">
        <w:rPr>
          <w:rFonts w:ascii="Browallia New" w:hAnsi="Browallia New" w:cs="Browallia New"/>
          <w:sz w:val="28"/>
          <w:szCs w:val="28"/>
        </w:rPr>
        <w:t>s</w:t>
      </w:r>
      <w:r w:rsidR="006F5979" w:rsidRPr="00AF7584">
        <w:rPr>
          <w:rFonts w:ascii="Browallia New" w:hAnsi="Browallia New" w:cs="Browallia New"/>
          <w:sz w:val="28"/>
          <w:szCs w:val="28"/>
        </w:rPr>
        <w:t xml:space="preserve"> explicit guidelines or measures to business unit leaders on how to assess the probability and impact of a risk event (</w:t>
      </w:r>
      <w:r w:rsidRPr="00AF7584">
        <w:rPr>
          <w:rFonts w:ascii="Browallia New" w:hAnsi="Browallia New" w:cs="Browallia New"/>
          <w:sz w:val="28"/>
          <w:szCs w:val="28"/>
        </w:rPr>
        <w:t>43</w:t>
      </w:r>
      <w:r w:rsidR="006F5979" w:rsidRPr="00AF7584">
        <w:rPr>
          <w:rFonts w:ascii="Browallia New" w:hAnsi="Browallia New" w:cs="Browallia New"/>
          <w:sz w:val="28"/>
          <w:szCs w:val="28"/>
        </w:rPr>
        <w:t xml:space="preserve">% and </w:t>
      </w:r>
      <w:r w:rsidRPr="00AF7584">
        <w:rPr>
          <w:rFonts w:ascii="Browallia New" w:hAnsi="Browallia New" w:cs="Browallia New"/>
          <w:sz w:val="28"/>
          <w:szCs w:val="28"/>
        </w:rPr>
        <w:t>40</w:t>
      </w:r>
      <w:r w:rsidR="006F5979" w:rsidRPr="00AF7584">
        <w:rPr>
          <w:rFonts w:ascii="Browallia New" w:hAnsi="Browallia New" w:cs="Browallia New"/>
          <w:sz w:val="28"/>
          <w:szCs w:val="28"/>
        </w:rPr>
        <w:t>%, respectively). We found similar results for not-for-profit organizations. However, consistent with 201</w:t>
      </w:r>
      <w:r w:rsidRPr="00AF7584">
        <w:rPr>
          <w:rFonts w:ascii="Browallia New" w:hAnsi="Browallia New" w:cs="Browallia New"/>
          <w:sz w:val="28"/>
          <w:szCs w:val="28"/>
        </w:rPr>
        <w:t>6</w:t>
      </w:r>
      <w:r w:rsidR="006F5979" w:rsidRPr="00AF7584">
        <w:rPr>
          <w:rFonts w:ascii="Browallia New" w:hAnsi="Browallia New" w:cs="Browallia New"/>
          <w:sz w:val="28"/>
          <w:szCs w:val="28"/>
        </w:rPr>
        <w:t xml:space="preserve"> almost two-thirds of the largest organizations and public companies provide explicit guidelines or measures to business unit leaders for them to use when assessing risk probabilities and impact. The public companies are the most likely t</w:t>
      </w:r>
      <w:r w:rsidR="00431ADF" w:rsidRPr="00AF7584">
        <w:rPr>
          <w:rFonts w:ascii="Browallia New" w:hAnsi="Browallia New" w:cs="Browallia New"/>
          <w:sz w:val="28"/>
          <w:szCs w:val="28"/>
        </w:rPr>
        <w:t>o provide this guidance. In 2017</w:t>
      </w:r>
      <w:r w:rsidR="006F5979" w:rsidRPr="00AF7584">
        <w:rPr>
          <w:rFonts w:ascii="Browallia New" w:hAnsi="Browallia New" w:cs="Browallia New"/>
          <w:sz w:val="28"/>
          <w:szCs w:val="28"/>
        </w:rPr>
        <w:t>, 6</w:t>
      </w:r>
      <w:r w:rsidRPr="00AF7584">
        <w:rPr>
          <w:rFonts w:ascii="Browallia New" w:hAnsi="Browallia New" w:cs="Browallia New"/>
          <w:sz w:val="28"/>
          <w:szCs w:val="28"/>
        </w:rPr>
        <w:t>8</w:t>
      </w:r>
      <w:r w:rsidR="006F5979" w:rsidRPr="00AF7584">
        <w:rPr>
          <w:rFonts w:ascii="Browallia New" w:hAnsi="Browallia New" w:cs="Browallia New"/>
          <w:sz w:val="28"/>
          <w:szCs w:val="28"/>
        </w:rPr>
        <w:t>% and 6</w:t>
      </w:r>
      <w:r w:rsidRPr="00AF7584">
        <w:rPr>
          <w:rFonts w:ascii="Browallia New" w:hAnsi="Browallia New" w:cs="Browallia New"/>
          <w:sz w:val="28"/>
          <w:szCs w:val="28"/>
        </w:rPr>
        <w:t>2</w:t>
      </w:r>
      <w:r w:rsidR="006F5979" w:rsidRPr="00AF7584">
        <w:rPr>
          <w:rFonts w:ascii="Browallia New" w:hAnsi="Browallia New" w:cs="Browallia New"/>
          <w:sz w:val="28"/>
          <w:szCs w:val="28"/>
        </w:rPr>
        <w:t>% of public companies provide guidelines for assessing risk probabilities and impact, respectively.</w:t>
      </w:r>
      <w:r w:rsidR="006F5979" w:rsidRPr="00B57E24">
        <w:rPr>
          <w:rFonts w:ascii="Browallia New" w:hAnsi="Browallia New" w:cs="Browallia New"/>
          <w:sz w:val="28"/>
          <w:szCs w:val="28"/>
        </w:rPr>
        <w:t xml:space="preserve">  </w:t>
      </w:r>
    </w:p>
    <w:p w14:paraId="62C6B1A3" w14:textId="4F68AD1C" w:rsidR="00F6494D" w:rsidRPr="00181B6D" w:rsidRDefault="00F6494D" w:rsidP="00B57E24">
      <w:pPr>
        <w:spacing w:line="204" w:lineRule="auto"/>
        <w:jc w:val="both"/>
        <w:rPr>
          <w:rStyle w:val="IntenseReference"/>
          <w:color w:val="auto"/>
        </w:rPr>
      </w:pPr>
      <w:r w:rsidRPr="00181B6D">
        <w:rPr>
          <w:rStyle w:val="IntenseReference"/>
          <w:color w:val="auto"/>
        </w:rPr>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900"/>
        <w:gridCol w:w="1908"/>
        <w:gridCol w:w="1440"/>
        <w:gridCol w:w="1365"/>
        <w:gridCol w:w="1533"/>
      </w:tblGrid>
      <w:tr w:rsidR="00356542" w:rsidRPr="00A61A7A" w14:paraId="738CDF69"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A6A6A6" w:themeFill="background1" w:themeFillShade="A6"/>
          </w:tcPr>
          <w:p w14:paraId="68DA85D3" w14:textId="77777777" w:rsidR="00356542" w:rsidRPr="003B1178" w:rsidRDefault="00356542" w:rsidP="00356542">
            <w:pPr>
              <w:spacing w:line="204" w:lineRule="auto"/>
              <w:rPr>
                <w:rFonts w:ascii="Browallia New" w:hAnsi="Browallia New" w:cs="Browallia New"/>
                <w:color w:val="auto"/>
              </w:rPr>
            </w:pPr>
            <w:r w:rsidRPr="003B1178">
              <w:rPr>
                <w:rFonts w:ascii="Browallia New" w:hAnsi="Browallia New" w:cs="Browallia New"/>
                <w:color w:val="auto"/>
              </w:rPr>
              <w:t xml:space="preserve">Percentage that </w:t>
            </w:r>
            <w:proofErr w:type="gramStart"/>
            <w:r w:rsidRPr="003B1178">
              <w:rPr>
                <w:rFonts w:ascii="Browallia New" w:hAnsi="Browallia New" w:cs="Browallia New"/>
                <w:color w:val="auto"/>
              </w:rPr>
              <w:t>provide</w:t>
            </w:r>
            <w:proofErr w:type="gramEnd"/>
            <w:r w:rsidRPr="003B1178">
              <w:rPr>
                <w:rFonts w:ascii="Browallia New" w:hAnsi="Browallia New" w:cs="Browallia New"/>
                <w:color w:val="auto"/>
              </w:rPr>
              <w:t xml:space="preserve"> </w:t>
            </w:r>
            <w:r w:rsidRPr="003B1178">
              <w:rPr>
                <w:rFonts w:ascii="Browallia New" w:hAnsi="Browallia New" w:cs="Browallia New"/>
                <w:color w:val="auto"/>
                <w:u w:val="single"/>
              </w:rPr>
              <w:t>guidelines to assess risk</w:t>
            </w:r>
          </w:p>
        </w:tc>
        <w:tc>
          <w:tcPr>
            <w:tcW w:w="900" w:type="dxa"/>
            <w:shd w:val="clear" w:color="auto" w:fill="A6A6A6" w:themeFill="background1" w:themeFillShade="A6"/>
          </w:tcPr>
          <w:p w14:paraId="224CD901" w14:textId="77777777" w:rsidR="00356542" w:rsidRPr="003B1178" w:rsidRDefault="00356542" w:rsidP="0035654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r w:rsidRPr="003B1178">
              <w:rPr>
                <w:rFonts w:ascii="Browallia New" w:hAnsi="Browallia New" w:cs="Browallia New"/>
                <w:color w:val="auto"/>
                <w:u w:val="single"/>
              </w:rPr>
              <w:t>Sample</w:t>
            </w:r>
          </w:p>
        </w:tc>
        <w:tc>
          <w:tcPr>
            <w:tcW w:w="1908" w:type="dxa"/>
            <w:shd w:val="clear" w:color="auto" w:fill="A6A6A6" w:themeFill="background1" w:themeFillShade="A6"/>
          </w:tcPr>
          <w:p w14:paraId="792DBDAC" w14:textId="77777777" w:rsidR="00356542" w:rsidRPr="003B1178" w:rsidRDefault="00356542" w:rsidP="0035654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r w:rsidRPr="003B1178">
              <w:rPr>
                <w:rFonts w:ascii="Browallia New" w:hAnsi="Browallia New" w:cs="Browallia New"/>
                <w:color w:val="auto"/>
                <w:u w:val="single"/>
              </w:rPr>
              <w:t>(Revenues &gt;$1B)</w:t>
            </w:r>
          </w:p>
        </w:tc>
        <w:tc>
          <w:tcPr>
            <w:tcW w:w="1440" w:type="dxa"/>
            <w:shd w:val="clear" w:color="auto" w:fill="A6A6A6" w:themeFill="background1" w:themeFillShade="A6"/>
          </w:tcPr>
          <w:p w14:paraId="6AD2662B" w14:textId="77777777" w:rsidR="00356542" w:rsidRPr="003B1178" w:rsidRDefault="00356542" w:rsidP="0035654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365" w:type="dxa"/>
            <w:shd w:val="clear" w:color="auto" w:fill="A6A6A6" w:themeFill="background1" w:themeFillShade="A6"/>
          </w:tcPr>
          <w:p w14:paraId="24A67509" w14:textId="77777777" w:rsidR="00356542" w:rsidRPr="003B1178" w:rsidRDefault="00356542" w:rsidP="0035654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20E4A606" w14:textId="77777777" w:rsidR="00356542" w:rsidRPr="003B1178" w:rsidRDefault="00356542" w:rsidP="0035654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33" w:type="dxa"/>
            <w:shd w:val="clear" w:color="auto" w:fill="A6A6A6" w:themeFill="background1" w:themeFillShade="A6"/>
          </w:tcPr>
          <w:p w14:paraId="7EC20027" w14:textId="77777777" w:rsidR="00356542" w:rsidRPr="003B1178" w:rsidRDefault="00356542" w:rsidP="0035654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356542" w:rsidRPr="00A61A7A" w14:paraId="3772E2DC"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none" w:sz="0" w:space="0" w:color="auto"/>
              <w:left w:val="none" w:sz="0" w:space="0" w:color="auto"/>
              <w:bottom w:val="none" w:sz="0" w:space="0" w:color="auto"/>
            </w:tcBorders>
            <w:shd w:val="clear" w:color="auto" w:fill="FFFFFF" w:themeFill="background1"/>
          </w:tcPr>
          <w:p w14:paraId="7E63BA19" w14:textId="77777777" w:rsidR="00356542" w:rsidRPr="003B1178" w:rsidRDefault="00356542" w:rsidP="00356542">
            <w:pPr>
              <w:spacing w:line="204" w:lineRule="auto"/>
              <w:ind w:left="36"/>
              <w:rPr>
                <w:rFonts w:ascii="Browallia New" w:hAnsi="Browallia New" w:cs="Browallia New"/>
              </w:rPr>
            </w:pPr>
          </w:p>
          <w:p w14:paraId="52E75421" w14:textId="77777777" w:rsidR="00356542" w:rsidRPr="003B1178" w:rsidRDefault="00356542" w:rsidP="00356542">
            <w:pPr>
              <w:pStyle w:val="ListParagraph"/>
              <w:numPr>
                <w:ilvl w:val="0"/>
                <w:numId w:val="34"/>
              </w:numPr>
              <w:spacing w:line="204" w:lineRule="auto"/>
              <w:rPr>
                <w:rFonts w:ascii="Browallia New" w:hAnsi="Browallia New" w:cs="Browallia New"/>
              </w:rPr>
            </w:pPr>
            <w:r w:rsidRPr="003B1178">
              <w:rPr>
                <w:rFonts w:ascii="Browallia New" w:hAnsi="Browallia New" w:cs="Browallia New"/>
              </w:rPr>
              <w:t>Probability</w:t>
            </w:r>
          </w:p>
        </w:tc>
        <w:tc>
          <w:tcPr>
            <w:tcW w:w="900" w:type="dxa"/>
            <w:tcBorders>
              <w:top w:val="none" w:sz="0" w:space="0" w:color="auto"/>
              <w:bottom w:val="none" w:sz="0" w:space="0" w:color="auto"/>
            </w:tcBorders>
            <w:shd w:val="clear" w:color="auto" w:fill="FFFFFF" w:themeFill="background1"/>
          </w:tcPr>
          <w:p w14:paraId="0F936A5B"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563DBE8"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43%</w:t>
            </w:r>
          </w:p>
        </w:tc>
        <w:tc>
          <w:tcPr>
            <w:tcW w:w="1908" w:type="dxa"/>
            <w:tcBorders>
              <w:top w:val="none" w:sz="0" w:space="0" w:color="auto"/>
              <w:bottom w:val="none" w:sz="0" w:space="0" w:color="auto"/>
            </w:tcBorders>
            <w:shd w:val="clear" w:color="auto" w:fill="FFFFFF" w:themeFill="background1"/>
          </w:tcPr>
          <w:p w14:paraId="02F82BA0"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05AE5286"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62%</w:t>
            </w:r>
          </w:p>
        </w:tc>
        <w:tc>
          <w:tcPr>
            <w:tcW w:w="1440" w:type="dxa"/>
            <w:tcBorders>
              <w:top w:val="none" w:sz="0" w:space="0" w:color="auto"/>
              <w:bottom w:val="none" w:sz="0" w:space="0" w:color="auto"/>
            </w:tcBorders>
            <w:shd w:val="clear" w:color="auto" w:fill="FFFFFF" w:themeFill="background1"/>
          </w:tcPr>
          <w:p w14:paraId="0BA09768"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2ADD2825"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68%</w:t>
            </w:r>
          </w:p>
        </w:tc>
        <w:tc>
          <w:tcPr>
            <w:tcW w:w="1365" w:type="dxa"/>
            <w:tcBorders>
              <w:top w:val="none" w:sz="0" w:space="0" w:color="auto"/>
              <w:bottom w:val="none" w:sz="0" w:space="0" w:color="auto"/>
            </w:tcBorders>
            <w:shd w:val="clear" w:color="auto" w:fill="FFFFFF" w:themeFill="background1"/>
          </w:tcPr>
          <w:p w14:paraId="0159E6F2"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0FD73C7"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56%</w:t>
            </w:r>
          </w:p>
        </w:tc>
        <w:tc>
          <w:tcPr>
            <w:tcW w:w="1533" w:type="dxa"/>
            <w:tcBorders>
              <w:top w:val="none" w:sz="0" w:space="0" w:color="auto"/>
              <w:bottom w:val="none" w:sz="0" w:space="0" w:color="auto"/>
              <w:right w:val="none" w:sz="0" w:space="0" w:color="auto"/>
            </w:tcBorders>
            <w:shd w:val="clear" w:color="auto" w:fill="FFFFFF" w:themeFill="background1"/>
          </w:tcPr>
          <w:p w14:paraId="464F9D65"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755F3B2" w14:textId="77777777" w:rsidR="00356542" w:rsidRPr="003B1178" w:rsidRDefault="00356542" w:rsidP="0035654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r>
      <w:tr w:rsidR="00356542" w:rsidRPr="00A61A7A" w14:paraId="4DBC3AF1" w14:textId="77777777" w:rsidTr="00F6494D">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4D75DAAD" w14:textId="77777777" w:rsidR="00356542" w:rsidRPr="003B1178" w:rsidRDefault="00356542" w:rsidP="00356542">
            <w:pPr>
              <w:pStyle w:val="ListParagraph"/>
              <w:numPr>
                <w:ilvl w:val="0"/>
                <w:numId w:val="34"/>
              </w:numPr>
              <w:spacing w:line="204" w:lineRule="auto"/>
              <w:rPr>
                <w:rFonts w:ascii="Browallia New" w:hAnsi="Browallia New" w:cs="Browallia New"/>
              </w:rPr>
            </w:pPr>
            <w:r w:rsidRPr="003B1178">
              <w:rPr>
                <w:rFonts w:ascii="Browallia New" w:hAnsi="Browallia New" w:cs="Browallia New"/>
              </w:rPr>
              <w:t>Impact</w:t>
            </w:r>
          </w:p>
        </w:tc>
        <w:tc>
          <w:tcPr>
            <w:tcW w:w="900" w:type="dxa"/>
            <w:shd w:val="clear" w:color="auto" w:fill="FFFFFF" w:themeFill="background1"/>
          </w:tcPr>
          <w:p w14:paraId="3D530700" w14:textId="77777777" w:rsidR="00356542" w:rsidRPr="003B1178" w:rsidRDefault="00356542" w:rsidP="0035654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40%</w:t>
            </w:r>
          </w:p>
        </w:tc>
        <w:tc>
          <w:tcPr>
            <w:tcW w:w="1908" w:type="dxa"/>
            <w:shd w:val="clear" w:color="auto" w:fill="FFFFFF" w:themeFill="background1"/>
          </w:tcPr>
          <w:p w14:paraId="354050E9" w14:textId="77777777" w:rsidR="00356542" w:rsidRPr="003B1178" w:rsidRDefault="00356542" w:rsidP="0035654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58%</w:t>
            </w:r>
          </w:p>
        </w:tc>
        <w:tc>
          <w:tcPr>
            <w:tcW w:w="1440" w:type="dxa"/>
            <w:shd w:val="clear" w:color="auto" w:fill="FFFFFF" w:themeFill="background1"/>
          </w:tcPr>
          <w:p w14:paraId="7F6CC02D" w14:textId="77777777" w:rsidR="00356542" w:rsidRPr="003B1178" w:rsidRDefault="00356542" w:rsidP="0035654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62%</w:t>
            </w:r>
          </w:p>
        </w:tc>
        <w:tc>
          <w:tcPr>
            <w:tcW w:w="1365" w:type="dxa"/>
            <w:shd w:val="clear" w:color="auto" w:fill="FFFFFF" w:themeFill="background1"/>
          </w:tcPr>
          <w:p w14:paraId="0A156DC5" w14:textId="77777777" w:rsidR="00356542" w:rsidRPr="003B1178" w:rsidRDefault="00356542" w:rsidP="0035654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55%</w:t>
            </w:r>
          </w:p>
        </w:tc>
        <w:tc>
          <w:tcPr>
            <w:tcW w:w="1533" w:type="dxa"/>
            <w:shd w:val="clear" w:color="auto" w:fill="FFFFFF" w:themeFill="background1"/>
          </w:tcPr>
          <w:p w14:paraId="7320D5F0" w14:textId="77777777" w:rsidR="00356542" w:rsidRPr="003B1178" w:rsidRDefault="00356542" w:rsidP="0035654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35%</w:t>
            </w:r>
          </w:p>
        </w:tc>
      </w:tr>
    </w:tbl>
    <w:p w14:paraId="492E18FA" w14:textId="77777777" w:rsidR="00356542" w:rsidRDefault="00356542" w:rsidP="00356542">
      <w:pPr>
        <w:spacing w:after="0" w:line="240" w:lineRule="auto"/>
        <w:jc w:val="both"/>
        <w:rPr>
          <w:rFonts w:ascii="Browallia New" w:hAnsi="Browallia New" w:cs="Browallia New"/>
        </w:rPr>
      </w:pPr>
    </w:p>
    <w:p w14:paraId="0880F81B" w14:textId="77777777" w:rsidR="002F2BDF" w:rsidRPr="00B57E24" w:rsidRDefault="002F2BDF" w:rsidP="00B57E24">
      <w:pPr>
        <w:spacing w:line="204" w:lineRule="auto"/>
        <w:jc w:val="both"/>
        <w:rPr>
          <w:rFonts w:ascii="Browallia New" w:hAnsi="Browallia New" w:cs="Browallia New"/>
          <w:color w:val="3891A7" w:themeColor="accent1"/>
          <w:sz w:val="28"/>
          <w:szCs w:val="28"/>
        </w:rPr>
      </w:pPr>
      <w:r w:rsidRPr="00B57E24">
        <w:rPr>
          <w:rFonts w:ascii="Browallia New" w:hAnsi="Browallia New" w:cs="Browallia New"/>
          <w:color w:val="3891A7" w:themeColor="accent1"/>
          <w:sz w:val="28"/>
          <w:szCs w:val="28"/>
        </w:rPr>
        <w:br w:type="page"/>
      </w:r>
    </w:p>
    <w:p w14:paraId="56BAC9A5" w14:textId="77777777" w:rsidR="006F5979" w:rsidRPr="00063B82" w:rsidRDefault="006F5979" w:rsidP="00E12ABA">
      <w:pPr>
        <w:shd w:val="clear" w:color="auto" w:fill="0070C0"/>
        <w:rPr>
          <w:rFonts w:ascii="Browallia New" w:hAnsi="Browallia New" w:cs="Browallia New"/>
          <w:b/>
          <w:color w:val="FFFFFF" w:themeColor="background1"/>
          <w:sz w:val="36"/>
          <w:szCs w:val="36"/>
        </w:rPr>
      </w:pPr>
      <w:r w:rsidRPr="00063B82">
        <w:rPr>
          <w:rFonts w:ascii="Browallia New" w:hAnsi="Browallia New" w:cs="Browallia New"/>
          <w:b/>
          <w:color w:val="FFFFFF" w:themeColor="background1"/>
          <w:sz w:val="36"/>
          <w:szCs w:val="36"/>
        </w:rPr>
        <w:lastRenderedPageBreak/>
        <w:t>A</w:t>
      </w:r>
      <w:r w:rsidR="00E12ABA">
        <w:rPr>
          <w:rFonts w:ascii="Browallia New" w:hAnsi="Browallia New" w:cs="Browallia New"/>
          <w:b/>
          <w:color w:val="FFFFFF" w:themeColor="background1"/>
          <w:sz w:val="36"/>
          <w:szCs w:val="36"/>
        </w:rPr>
        <w:t>GGREGATING RISK INFORMATION FOR ENTERPRISE VIEW</w:t>
      </w:r>
    </w:p>
    <w:p w14:paraId="56D6B4BA" w14:textId="77777777" w:rsidR="00775C92" w:rsidRDefault="00775C92" w:rsidP="00775C92">
      <w:pPr>
        <w:pStyle w:val="ListParagraph"/>
        <w:numPr>
          <w:ilvl w:val="0"/>
          <w:numId w:val="42"/>
        </w:numPr>
        <w:spacing w:line="204" w:lineRule="auto"/>
        <w:ind w:right="432"/>
        <w:jc w:val="both"/>
        <w:rPr>
          <w:rFonts w:ascii="Browallia New" w:hAnsi="Browallia New" w:cs="Browallia New"/>
          <w:b/>
          <w:i/>
          <w:color w:val="0070C0"/>
          <w:sz w:val="28"/>
          <w:szCs w:val="28"/>
        </w:rPr>
      </w:pPr>
      <w:r>
        <w:rPr>
          <w:rFonts w:ascii="Browallia New" w:hAnsi="Browallia New" w:cs="Browallia New"/>
          <w:b/>
          <w:i/>
          <w:color w:val="0070C0"/>
          <w:sz w:val="28"/>
          <w:szCs w:val="28"/>
        </w:rPr>
        <w:t xml:space="preserve">Most organizations </w:t>
      </w:r>
      <w:r w:rsidR="002F4DA9">
        <w:rPr>
          <w:rFonts w:ascii="Browallia New" w:hAnsi="Browallia New" w:cs="Browallia New"/>
          <w:b/>
          <w:i/>
          <w:color w:val="0070C0"/>
          <w:sz w:val="28"/>
          <w:szCs w:val="28"/>
        </w:rPr>
        <w:t>provide</w:t>
      </w:r>
      <w:r>
        <w:rPr>
          <w:rFonts w:ascii="Browallia New" w:hAnsi="Browallia New" w:cs="Browallia New"/>
          <w:b/>
          <w:i/>
          <w:color w:val="0070C0"/>
          <w:sz w:val="28"/>
          <w:szCs w:val="28"/>
        </w:rPr>
        <w:t xml:space="preserve"> a formal report of top risk exposures to the board of directors at least annually.</w:t>
      </w:r>
    </w:p>
    <w:p w14:paraId="05E03218" w14:textId="77777777" w:rsidR="00007509" w:rsidRDefault="00775C92" w:rsidP="00775C92">
      <w:pPr>
        <w:pStyle w:val="ListParagraph"/>
        <w:numPr>
          <w:ilvl w:val="0"/>
          <w:numId w:val="42"/>
        </w:numPr>
        <w:spacing w:line="204" w:lineRule="auto"/>
        <w:ind w:right="432"/>
        <w:jc w:val="both"/>
        <w:rPr>
          <w:rFonts w:ascii="Browallia New" w:hAnsi="Browallia New" w:cs="Browallia New"/>
          <w:b/>
          <w:i/>
          <w:color w:val="0070C0"/>
          <w:sz w:val="28"/>
          <w:szCs w:val="28"/>
        </w:rPr>
      </w:pPr>
      <w:r>
        <w:rPr>
          <w:rFonts w:ascii="Browallia New" w:hAnsi="Browallia New" w:cs="Browallia New"/>
          <w:b/>
          <w:i/>
          <w:color w:val="0070C0"/>
          <w:sz w:val="28"/>
          <w:szCs w:val="28"/>
        </w:rPr>
        <w:t>Nearly three-fourths of respondents indicate that their board of directors discusses at a specific meeting the top risk exposures facing the organization</w:t>
      </w:r>
      <w:r w:rsidR="00FE0B2E" w:rsidRPr="00775C92">
        <w:rPr>
          <w:rFonts w:ascii="Browallia New" w:hAnsi="Browallia New" w:cs="Browallia New"/>
          <w:b/>
          <w:i/>
          <w:color w:val="0070C0"/>
          <w:sz w:val="28"/>
          <w:szCs w:val="28"/>
        </w:rPr>
        <w:t>.</w:t>
      </w:r>
    </w:p>
    <w:p w14:paraId="04EE7320" w14:textId="77777777" w:rsidR="00775C92" w:rsidRPr="00775C92" w:rsidRDefault="00775C92" w:rsidP="00775C92">
      <w:pPr>
        <w:pStyle w:val="ListParagraph"/>
        <w:numPr>
          <w:ilvl w:val="0"/>
          <w:numId w:val="42"/>
        </w:numPr>
        <w:spacing w:line="204" w:lineRule="auto"/>
        <w:ind w:right="432"/>
        <w:jc w:val="both"/>
        <w:rPr>
          <w:rFonts w:ascii="Browallia New" w:hAnsi="Browallia New" w:cs="Browallia New"/>
          <w:b/>
          <w:i/>
          <w:color w:val="0070C0"/>
          <w:sz w:val="28"/>
          <w:szCs w:val="28"/>
        </w:rPr>
      </w:pPr>
      <w:r>
        <w:rPr>
          <w:rFonts w:ascii="Browallia New" w:hAnsi="Browallia New" w:cs="Browallia New"/>
          <w:b/>
          <w:i/>
          <w:color w:val="0070C0"/>
          <w:sz w:val="28"/>
          <w:szCs w:val="28"/>
        </w:rPr>
        <w:t xml:space="preserve">Between one-half and two-thirds of large organizations, public companies, and financial services organizations describe their </w:t>
      </w:r>
      <w:r w:rsidR="00B050C7">
        <w:rPr>
          <w:rFonts w:ascii="Browallia New" w:hAnsi="Browallia New" w:cs="Browallia New"/>
          <w:b/>
          <w:i/>
          <w:color w:val="0070C0"/>
          <w:sz w:val="28"/>
          <w:szCs w:val="28"/>
        </w:rPr>
        <w:t>processes to report top risks to the board as systematic, robust, and repeatable.</w:t>
      </w:r>
      <w:r w:rsidR="002F4DA9">
        <w:rPr>
          <w:rFonts w:ascii="Browallia New" w:hAnsi="Browallia New" w:cs="Browallia New"/>
          <w:b/>
          <w:i/>
          <w:color w:val="0070C0"/>
          <w:sz w:val="28"/>
          <w:szCs w:val="28"/>
        </w:rPr>
        <w:t xml:space="preserve"> That drops to one-third for not-for-profit organizations.</w:t>
      </w:r>
    </w:p>
    <w:p w14:paraId="4AC35323"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We asked respondents about their current stage of risk management processes and reporting procedures. More than one-third (3</w:t>
      </w:r>
      <w:r w:rsidR="00063B82" w:rsidRPr="00B57E24">
        <w:rPr>
          <w:rFonts w:ascii="Browallia New" w:hAnsi="Browallia New" w:cs="Browallia New"/>
          <w:sz w:val="28"/>
          <w:szCs w:val="28"/>
        </w:rPr>
        <w:t>6</w:t>
      </w:r>
      <w:r w:rsidRPr="00B57E24">
        <w:rPr>
          <w:rFonts w:ascii="Browallia New" w:hAnsi="Browallia New" w:cs="Browallia New"/>
          <w:sz w:val="28"/>
          <w:szCs w:val="28"/>
        </w:rPr>
        <w:t>%) either have no structured process for identifying and reporting top risk exposures to the board or they track risks by silos with minimal reporting of aggregate risk exposures to the board. An additional 2</w:t>
      </w:r>
      <w:r w:rsidR="00063B82" w:rsidRPr="00B57E24">
        <w:rPr>
          <w:rFonts w:ascii="Browallia New" w:hAnsi="Browallia New" w:cs="Browallia New"/>
          <w:sz w:val="28"/>
          <w:szCs w:val="28"/>
        </w:rPr>
        <w:t>6</w:t>
      </w:r>
      <w:r w:rsidRPr="00B57E24">
        <w:rPr>
          <w:rFonts w:ascii="Browallia New" w:hAnsi="Browallia New" w:cs="Browallia New"/>
          <w:sz w:val="28"/>
          <w:szCs w:val="28"/>
        </w:rPr>
        <w:t xml:space="preserve">% describe their risk management processes as informal and unstructured with </w:t>
      </w:r>
      <w:r w:rsidRPr="00B57E24">
        <w:rPr>
          <w:rFonts w:ascii="Browallia New" w:hAnsi="Browallia New" w:cs="Browallia New"/>
          <w:i/>
          <w:sz w:val="28"/>
          <w:szCs w:val="28"/>
        </w:rPr>
        <w:t>ad hoc</w:t>
      </w:r>
      <w:r w:rsidRPr="00B57E24">
        <w:rPr>
          <w:rFonts w:ascii="Browallia New" w:hAnsi="Browallia New" w:cs="Browallia New"/>
          <w:sz w:val="28"/>
          <w:szCs w:val="28"/>
        </w:rPr>
        <w:t xml:space="preserve"> reporting of aggregate risk exposures to the board.  </w:t>
      </w:r>
    </w:p>
    <w:p w14:paraId="42594E9D" w14:textId="77777777" w:rsidR="00AD2974"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Interestingly, however, just over one-third (3</w:t>
      </w:r>
      <w:r w:rsidR="00063B82" w:rsidRPr="00B57E24">
        <w:rPr>
          <w:rFonts w:ascii="Browallia New" w:hAnsi="Browallia New" w:cs="Browallia New"/>
          <w:sz w:val="28"/>
          <w:szCs w:val="28"/>
        </w:rPr>
        <w:t>8</w:t>
      </w:r>
      <w:r w:rsidRPr="00B57E24">
        <w:rPr>
          <w:rFonts w:ascii="Browallia New" w:hAnsi="Browallia New" w:cs="Browallia New"/>
          <w:sz w:val="28"/>
          <w:szCs w:val="28"/>
        </w:rPr>
        <w:t xml:space="preserve">%) of the full sample believe their enterprise risk oversight processes are systematic, robust, and repeatable with regular reporting of top risk exposures to the board. This percentage is slightly higher than </w:t>
      </w:r>
      <w:r w:rsidR="00431ADF" w:rsidRPr="00B57E24">
        <w:rPr>
          <w:rFonts w:ascii="Browallia New" w:hAnsi="Browallia New" w:cs="Browallia New"/>
          <w:sz w:val="28"/>
          <w:szCs w:val="28"/>
        </w:rPr>
        <w:t>the results reported in our 2016 report (35</w:t>
      </w:r>
      <w:r w:rsidRPr="00B57E24">
        <w:rPr>
          <w:rFonts w:ascii="Browallia New" w:hAnsi="Browallia New" w:cs="Browallia New"/>
          <w:sz w:val="28"/>
          <w:szCs w:val="28"/>
        </w:rPr>
        <w:t>%)</w:t>
      </w:r>
      <w:r w:rsidR="002F4DA9">
        <w:rPr>
          <w:rFonts w:ascii="Browallia New" w:hAnsi="Browallia New" w:cs="Browallia New"/>
          <w:sz w:val="28"/>
          <w:szCs w:val="28"/>
        </w:rPr>
        <w:t xml:space="preserve"> and our 2015 report (33%)</w:t>
      </w:r>
      <w:r w:rsidRPr="00B57E24">
        <w:rPr>
          <w:rFonts w:ascii="Browallia New" w:hAnsi="Browallia New" w:cs="Browallia New"/>
          <w:sz w:val="28"/>
          <w:szCs w:val="28"/>
        </w:rPr>
        <w:t xml:space="preserve">. </w:t>
      </w:r>
    </w:p>
    <w:tbl>
      <w:tblPr>
        <w:tblStyle w:val="LightList-Accent3"/>
        <w:tblW w:w="95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38"/>
        <w:gridCol w:w="90"/>
        <w:gridCol w:w="990"/>
        <w:gridCol w:w="1620"/>
        <w:gridCol w:w="1440"/>
        <w:gridCol w:w="1365"/>
        <w:gridCol w:w="1533"/>
      </w:tblGrid>
      <w:tr w:rsidR="006F5979" w:rsidRPr="00F46D57" w14:paraId="70D22C89" w14:textId="77777777" w:rsidTr="00E12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thinThickThinLargeGap" w:sz="24" w:space="0" w:color="C48B01" w:themeColor="accent2" w:themeShade="BF"/>
            </w:tcBorders>
            <w:shd w:val="clear" w:color="auto" w:fill="0070C0"/>
          </w:tcPr>
          <w:p w14:paraId="7729C243" w14:textId="77777777" w:rsidR="006F5979" w:rsidRPr="00063B82" w:rsidRDefault="006F5979" w:rsidP="00DA236B">
            <w:pPr>
              <w:jc w:val="both"/>
              <w:rPr>
                <w:rFonts w:ascii="Browallia New" w:hAnsi="Browallia New" w:cs="Browallia New"/>
                <w:sz w:val="28"/>
                <w:szCs w:val="28"/>
              </w:rPr>
            </w:pPr>
            <w:r w:rsidRPr="00063B82">
              <w:rPr>
                <w:rFonts w:ascii="Browallia New" w:hAnsi="Browallia New" w:cs="Browallia New"/>
                <w:sz w:val="28"/>
                <w:szCs w:val="28"/>
              </w:rPr>
              <w:br w:type="page"/>
            </w:r>
          </w:p>
        </w:tc>
        <w:tc>
          <w:tcPr>
            <w:tcW w:w="5505" w:type="dxa"/>
            <w:gridSpan w:val="5"/>
            <w:tcBorders>
              <w:top w:val="thinThickThinLargeGap" w:sz="24" w:space="0" w:color="C48B01" w:themeColor="accent2" w:themeShade="BF"/>
            </w:tcBorders>
            <w:shd w:val="clear" w:color="auto" w:fill="0070C0"/>
          </w:tcPr>
          <w:p w14:paraId="180E6D64" w14:textId="77777777" w:rsidR="006F5979" w:rsidRPr="00063B82"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063B82">
              <w:rPr>
                <w:rFonts w:ascii="Browallia New" w:hAnsi="Browallia New" w:cs="Browallia New"/>
                <w:sz w:val="28"/>
                <w:szCs w:val="28"/>
              </w:rPr>
              <w:t>Percentage of Respondents</w:t>
            </w:r>
          </w:p>
        </w:tc>
        <w:tc>
          <w:tcPr>
            <w:tcW w:w="1533" w:type="dxa"/>
            <w:tcBorders>
              <w:top w:val="thinThickThinLargeGap" w:sz="24" w:space="0" w:color="C48B01" w:themeColor="accent2" w:themeShade="BF"/>
            </w:tcBorders>
            <w:shd w:val="clear" w:color="auto" w:fill="0070C0"/>
          </w:tcPr>
          <w:p w14:paraId="7C876247" w14:textId="77777777" w:rsidR="006F5979" w:rsidRPr="00063B82"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p>
        </w:tc>
      </w:tr>
      <w:tr w:rsidR="006F5979" w:rsidRPr="00F46D57" w14:paraId="3FC71CAC" w14:textId="77777777" w:rsidTr="00063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one" w:sz="0" w:space="0" w:color="auto"/>
              <w:left w:val="none" w:sz="0" w:space="0" w:color="auto"/>
              <w:bottom w:val="none" w:sz="0" w:space="0" w:color="auto"/>
            </w:tcBorders>
            <w:shd w:val="clear" w:color="auto" w:fill="FFFFFF" w:themeFill="background1"/>
          </w:tcPr>
          <w:p w14:paraId="4A036F97" w14:textId="77777777" w:rsidR="00063B82" w:rsidRPr="003B1178" w:rsidRDefault="00063B82" w:rsidP="00063B82">
            <w:pPr>
              <w:spacing w:line="204" w:lineRule="auto"/>
              <w:rPr>
                <w:rFonts w:ascii="Browallia New" w:hAnsi="Browallia New" w:cs="Browallia New"/>
              </w:rPr>
            </w:pPr>
          </w:p>
          <w:p w14:paraId="00DCDC62" w14:textId="77777777" w:rsidR="006F5979" w:rsidRPr="003B1178" w:rsidRDefault="006F5979" w:rsidP="00063B82">
            <w:pPr>
              <w:spacing w:line="204" w:lineRule="auto"/>
              <w:rPr>
                <w:rFonts w:ascii="Browallia New" w:hAnsi="Browallia New" w:cs="Browallia New"/>
              </w:rPr>
            </w:pPr>
            <w:r w:rsidRPr="003B1178">
              <w:rPr>
                <w:rFonts w:ascii="Browallia New" w:hAnsi="Browallia New" w:cs="Browallia New"/>
              </w:rPr>
              <w:t xml:space="preserve">Percentage who </w:t>
            </w:r>
            <w:proofErr w:type="gramStart"/>
            <w:r w:rsidRPr="003B1178">
              <w:rPr>
                <w:rFonts w:ascii="Browallia New" w:hAnsi="Browallia New" w:cs="Browallia New"/>
              </w:rPr>
              <w:t>describe</w:t>
            </w:r>
            <w:proofErr w:type="gramEnd"/>
            <w:r w:rsidRPr="003B1178">
              <w:rPr>
                <w:rFonts w:ascii="Browallia New" w:hAnsi="Browallia New" w:cs="Browallia New"/>
              </w:rPr>
              <w:t xml:space="preserve"> their </w:t>
            </w:r>
            <w:r w:rsidRPr="003B1178">
              <w:rPr>
                <w:rFonts w:ascii="Browallia New" w:hAnsi="Browallia New" w:cs="Browallia New"/>
                <w:u w:val="single"/>
              </w:rPr>
              <w:t>ERM implementation as</w:t>
            </w:r>
          </w:p>
        </w:tc>
        <w:tc>
          <w:tcPr>
            <w:tcW w:w="990" w:type="dxa"/>
            <w:tcBorders>
              <w:top w:val="none" w:sz="0" w:space="0" w:color="auto"/>
              <w:bottom w:val="none" w:sz="0" w:space="0" w:color="auto"/>
            </w:tcBorders>
            <w:shd w:val="clear" w:color="auto" w:fill="FFFFFF" w:themeFill="background1"/>
          </w:tcPr>
          <w:p w14:paraId="33FF5DFD"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66C58A33"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Full </w:t>
            </w:r>
            <w:r w:rsidRPr="003B1178">
              <w:rPr>
                <w:rFonts w:ascii="Browallia New" w:hAnsi="Browallia New" w:cs="Browallia New"/>
                <w:b/>
                <w:u w:val="single"/>
              </w:rPr>
              <w:t>Sample</w:t>
            </w:r>
          </w:p>
        </w:tc>
        <w:tc>
          <w:tcPr>
            <w:tcW w:w="1620" w:type="dxa"/>
            <w:tcBorders>
              <w:top w:val="none" w:sz="0" w:space="0" w:color="auto"/>
              <w:bottom w:val="none" w:sz="0" w:space="0" w:color="auto"/>
            </w:tcBorders>
            <w:shd w:val="clear" w:color="auto" w:fill="FFFFFF" w:themeFill="background1"/>
          </w:tcPr>
          <w:p w14:paraId="4353C352"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Largest Organizations </w:t>
            </w:r>
            <w:r w:rsidRPr="003B1178">
              <w:rPr>
                <w:rFonts w:ascii="Browallia New" w:hAnsi="Browallia New" w:cs="Browallia New"/>
                <w:b/>
                <w:u w:val="single"/>
              </w:rPr>
              <w:t>(Revenues &gt;$1B)</w:t>
            </w:r>
          </w:p>
        </w:tc>
        <w:tc>
          <w:tcPr>
            <w:tcW w:w="1440" w:type="dxa"/>
            <w:tcBorders>
              <w:top w:val="none" w:sz="0" w:space="0" w:color="auto"/>
              <w:bottom w:val="none" w:sz="0" w:space="0" w:color="auto"/>
            </w:tcBorders>
            <w:shd w:val="clear" w:color="auto" w:fill="FFFFFF" w:themeFill="background1"/>
          </w:tcPr>
          <w:p w14:paraId="7F78FB73"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F5362BC"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Public </w:t>
            </w:r>
            <w:r w:rsidRPr="003B1178">
              <w:rPr>
                <w:rFonts w:ascii="Browallia New" w:hAnsi="Browallia New" w:cs="Browallia New"/>
                <w:b/>
                <w:u w:val="single"/>
              </w:rPr>
              <w:t>Companies</w:t>
            </w:r>
          </w:p>
        </w:tc>
        <w:tc>
          <w:tcPr>
            <w:tcW w:w="1365" w:type="dxa"/>
            <w:tcBorders>
              <w:top w:val="none" w:sz="0" w:space="0" w:color="auto"/>
              <w:bottom w:val="none" w:sz="0" w:space="0" w:color="auto"/>
            </w:tcBorders>
            <w:shd w:val="clear" w:color="auto" w:fill="FFFFFF" w:themeFill="background1"/>
          </w:tcPr>
          <w:p w14:paraId="1CFFBF29"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1A553AD9"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Financial </w:t>
            </w:r>
          </w:p>
          <w:p w14:paraId="52BF5E17"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 xml:space="preserve">Services </w:t>
            </w:r>
          </w:p>
        </w:tc>
        <w:tc>
          <w:tcPr>
            <w:tcW w:w="1533" w:type="dxa"/>
            <w:tcBorders>
              <w:top w:val="none" w:sz="0" w:space="0" w:color="auto"/>
              <w:bottom w:val="none" w:sz="0" w:space="0" w:color="auto"/>
              <w:right w:val="none" w:sz="0" w:space="0" w:color="auto"/>
            </w:tcBorders>
            <w:shd w:val="clear" w:color="auto" w:fill="FFFFFF" w:themeFill="background1"/>
          </w:tcPr>
          <w:p w14:paraId="1289683B" w14:textId="77777777" w:rsidR="00063B82" w:rsidRPr="003B1178" w:rsidRDefault="00063B82"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3C706B09" w14:textId="77777777" w:rsidR="006F5979" w:rsidRPr="003B1178" w:rsidRDefault="006F5979"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Not-For-Profit </w:t>
            </w:r>
            <w:r w:rsidRPr="003B1178">
              <w:rPr>
                <w:rFonts w:ascii="Browallia New" w:hAnsi="Browallia New" w:cs="Browallia New"/>
                <w:b/>
                <w:u w:val="single"/>
              </w:rPr>
              <w:t>Organizations</w:t>
            </w:r>
          </w:p>
        </w:tc>
      </w:tr>
      <w:tr w:rsidR="006F5979" w:rsidRPr="00F46D57" w14:paraId="7A4B8195" w14:textId="77777777" w:rsidTr="00063B82">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FFFFFF" w:themeFill="background1"/>
          </w:tcPr>
          <w:p w14:paraId="54A3DB9C" w14:textId="77777777" w:rsidR="00063B82" w:rsidRPr="003B1178" w:rsidRDefault="00063B82" w:rsidP="00063B82">
            <w:pPr>
              <w:spacing w:line="204" w:lineRule="auto"/>
              <w:rPr>
                <w:rFonts w:ascii="Browallia New" w:hAnsi="Browallia New" w:cs="Browallia New"/>
                <w:i/>
              </w:rPr>
            </w:pPr>
          </w:p>
          <w:p w14:paraId="2D2CC371" w14:textId="77777777" w:rsidR="006F5979" w:rsidRPr="003B1178" w:rsidRDefault="006F5979" w:rsidP="00063B82">
            <w:pPr>
              <w:spacing w:line="204" w:lineRule="auto"/>
              <w:rPr>
                <w:rFonts w:ascii="Browallia New" w:hAnsi="Browallia New" w:cs="Browallia New"/>
              </w:rPr>
            </w:pPr>
            <w:r w:rsidRPr="003B1178">
              <w:rPr>
                <w:rFonts w:ascii="Browallia New" w:hAnsi="Browallia New" w:cs="Browallia New"/>
              </w:rPr>
              <w:t>Our process is systematic, robust, and repeatable with regular reporting of t</w:t>
            </w:r>
            <w:r w:rsidR="002F4DA9" w:rsidRPr="003B1178">
              <w:rPr>
                <w:rFonts w:ascii="Browallia New" w:hAnsi="Browallia New" w:cs="Browallia New"/>
              </w:rPr>
              <w:t>op risk exposures to the board.</w:t>
            </w:r>
          </w:p>
        </w:tc>
        <w:tc>
          <w:tcPr>
            <w:tcW w:w="990" w:type="dxa"/>
            <w:shd w:val="clear" w:color="auto" w:fill="FFFFFF" w:themeFill="background1"/>
          </w:tcPr>
          <w:p w14:paraId="2952A2BD" w14:textId="77777777" w:rsidR="00063B82" w:rsidRPr="003B1178" w:rsidRDefault="00063B82"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6239FA95" w14:textId="77777777" w:rsidR="006F5979" w:rsidRPr="003B1178" w:rsidRDefault="004E7CC8"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38%</w:t>
            </w:r>
          </w:p>
        </w:tc>
        <w:tc>
          <w:tcPr>
            <w:tcW w:w="1620" w:type="dxa"/>
            <w:shd w:val="clear" w:color="auto" w:fill="FFFFFF" w:themeFill="background1"/>
          </w:tcPr>
          <w:p w14:paraId="654F22BC" w14:textId="77777777" w:rsidR="00063B82" w:rsidRPr="003B1178" w:rsidRDefault="00063B82"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27F462C3" w14:textId="77777777" w:rsidR="006F5979" w:rsidRPr="003B1178" w:rsidRDefault="004E7CC8"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55%</w:t>
            </w:r>
          </w:p>
        </w:tc>
        <w:tc>
          <w:tcPr>
            <w:tcW w:w="1440" w:type="dxa"/>
            <w:shd w:val="clear" w:color="auto" w:fill="FFFFFF" w:themeFill="background1"/>
          </w:tcPr>
          <w:p w14:paraId="657D8BDC" w14:textId="77777777" w:rsidR="00063B82" w:rsidRPr="003B1178" w:rsidRDefault="00063B82"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1C6B5988"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62%</w:t>
            </w:r>
          </w:p>
        </w:tc>
        <w:tc>
          <w:tcPr>
            <w:tcW w:w="1365" w:type="dxa"/>
            <w:shd w:val="clear" w:color="auto" w:fill="FFFFFF" w:themeFill="background1"/>
          </w:tcPr>
          <w:p w14:paraId="5D566B61" w14:textId="77777777" w:rsidR="00063B82" w:rsidRPr="003B1178" w:rsidRDefault="00063B82"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57625230"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57%</w:t>
            </w:r>
          </w:p>
        </w:tc>
        <w:tc>
          <w:tcPr>
            <w:tcW w:w="1533" w:type="dxa"/>
            <w:shd w:val="clear" w:color="auto" w:fill="FFFFFF" w:themeFill="background1"/>
          </w:tcPr>
          <w:p w14:paraId="71F7CF21" w14:textId="77777777" w:rsidR="00063B82" w:rsidRPr="003B1178" w:rsidRDefault="00063B82"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p>
          <w:p w14:paraId="4AD22112"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33%</w:t>
            </w:r>
          </w:p>
        </w:tc>
      </w:tr>
    </w:tbl>
    <w:p w14:paraId="3DB72D5C" w14:textId="77777777" w:rsidR="006F5979" w:rsidRPr="00B57E24" w:rsidRDefault="00536042" w:rsidP="00B57E24">
      <w:pPr>
        <w:spacing w:before="120"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49376" behindDoc="0" locked="0" layoutInCell="0" allowOverlap="1" wp14:anchorId="5C595CC0" wp14:editId="6B480717">
                <wp:simplePos x="0" y="0"/>
                <wp:positionH relativeFrom="margin">
                  <wp:posOffset>-43815</wp:posOffset>
                </wp:positionH>
                <wp:positionV relativeFrom="margin">
                  <wp:posOffset>6064250</wp:posOffset>
                </wp:positionV>
                <wp:extent cx="1529080" cy="777875"/>
                <wp:effectExtent l="19050" t="19050" r="13970" b="22225"/>
                <wp:wrapSquare wrapText="bothSides"/>
                <wp:docPr id="1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777875"/>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0D821469" w14:textId="77777777" w:rsidR="00206200" w:rsidRPr="003B1178" w:rsidRDefault="00206200" w:rsidP="00063B82">
                            <w:pPr>
                              <w:shd w:val="clear" w:color="auto" w:fill="C48B01" w:themeFill="accent2" w:themeFillShade="BF"/>
                              <w:spacing w:line="204" w:lineRule="auto"/>
                              <w:jc w:val="center"/>
                              <w:rPr>
                                <w:rFonts w:ascii="Browallia New" w:hAnsi="Browallia New" w:cs="Browallia New"/>
                                <w:b/>
                                <w:color w:val="232D46" w:themeColor="accent6" w:themeShade="80"/>
                              </w:rPr>
                            </w:pPr>
                            <w:proofErr w:type="gramStart"/>
                            <w:r w:rsidRPr="003B1178">
                              <w:rPr>
                                <w:rFonts w:ascii="Browallia New" w:hAnsi="Browallia New" w:cs="Browallia New"/>
                                <w:b/>
                                <w:color w:val="232D46" w:themeColor="accent6" w:themeShade="80"/>
                              </w:rPr>
                              <w:t>The majority of</w:t>
                            </w:r>
                            <w:proofErr w:type="gramEnd"/>
                            <w:r w:rsidRPr="003B1178">
                              <w:rPr>
                                <w:rFonts w:ascii="Browallia New" w:hAnsi="Browallia New" w:cs="Browallia New"/>
                                <w:b/>
                                <w:color w:val="232D46" w:themeColor="accent6" w:themeShade="80"/>
                              </w:rPr>
                              <w:t xml:space="preserve"> organizations communicate risk information to senior executives on an ad hoc basis.</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595CC0" id="Oval 21" o:spid="_x0000_s1035" style="position:absolute;left:0;text-align:left;margin-left:-3.45pt;margin-top:477.5pt;width:120.4pt;height:61.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" o:allowincell="f" fillcolor="#c48b01 [2405]" strokecolor="#1a6da6" strokeweight="3pt">
                <v:textbox inset="3.6pt,,3.6pt">
                  <w:txbxContent>
                    <w:p w14:paraId="0D821469" w14:textId="77777777" w:rsidR="00206200" w:rsidRPr="003B1178" w:rsidRDefault="00206200" w:rsidP="00063B82">
                      <w:pPr>
                        <w:shd w:val="clear" w:color="auto" w:fill="C48B01" w:themeFill="accent2" w:themeFillShade="BF"/>
                        <w:spacing w:line="204" w:lineRule="auto"/>
                        <w:jc w:val="center"/>
                        <w:rPr>
                          <w:rFonts w:ascii="Browallia New" w:hAnsi="Browallia New" w:cs="Browallia New"/>
                          <w:b/>
                          <w:color w:val="232D46" w:themeColor="accent6" w:themeShade="80"/>
                        </w:rPr>
                      </w:pPr>
                      <w:proofErr w:type="gramStart"/>
                      <w:r w:rsidRPr="003B1178">
                        <w:rPr>
                          <w:rFonts w:ascii="Browallia New" w:hAnsi="Browallia New" w:cs="Browallia New"/>
                          <w:b/>
                          <w:color w:val="232D46" w:themeColor="accent6" w:themeShade="80"/>
                        </w:rPr>
                        <w:t>The majority of</w:t>
                      </w:r>
                      <w:proofErr w:type="gramEnd"/>
                      <w:r w:rsidRPr="003B1178">
                        <w:rPr>
                          <w:rFonts w:ascii="Browallia New" w:hAnsi="Browallia New" w:cs="Browallia New"/>
                          <w:b/>
                          <w:color w:val="232D46" w:themeColor="accent6" w:themeShade="80"/>
                        </w:rPr>
                        <w:t xml:space="preserve"> organizations communicate risk information to senior executives on an ad hoc basis.</w:t>
                      </w:r>
                    </w:p>
                  </w:txbxContent>
                </v:textbox>
                <w10:wrap type="square" anchorx="margin" anchory="margin"/>
              </v:roundrect>
            </w:pict>
          </mc:Fallback>
        </mc:AlternateContent>
      </w:r>
      <w:r w:rsidR="006F5979" w:rsidRPr="00B57E24">
        <w:rPr>
          <w:rFonts w:ascii="Browallia New" w:hAnsi="Browallia New" w:cs="Browallia New"/>
          <w:sz w:val="28"/>
          <w:szCs w:val="28"/>
        </w:rPr>
        <w:t xml:space="preserve">Thus, while </w:t>
      </w:r>
      <w:proofErr w:type="gramStart"/>
      <w:r w:rsidR="006F5979" w:rsidRPr="00B57E24">
        <w:rPr>
          <w:rFonts w:ascii="Browallia New" w:hAnsi="Browallia New" w:cs="Browallia New"/>
          <w:sz w:val="28"/>
          <w:szCs w:val="28"/>
        </w:rPr>
        <w:t>a majority of</w:t>
      </w:r>
      <w:proofErr w:type="gramEnd"/>
      <w:r w:rsidR="006F5979" w:rsidRPr="00B57E24">
        <w:rPr>
          <w:rFonts w:ascii="Browallia New" w:hAnsi="Browallia New" w:cs="Browallia New"/>
          <w:sz w:val="28"/>
          <w:szCs w:val="28"/>
        </w:rPr>
        <w:t xml:space="preserve"> organizations </w:t>
      </w:r>
      <w:r w:rsidR="00063B82" w:rsidRPr="00B57E24">
        <w:rPr>
          <w:rFonts w:ascii="Browallia New" w:hAnsi="Browallia New" w:cs="Browallia New"/>
          <w:sz w:val="28"/>
          <w:szCs w:val="28"/>
        </w:rPr>
        <w:t xml:space="preserve">in our full sample </w:t>
      </w:r>
      <w:r w:rsidR="006F5979" w:rsidRPr="00B57E24">
        <w:rPr>
          <w:rFonts w:ascii="Browallia New" w:hAnsi="Browallia New" w:cs="Browallia New"/>
          <w:sz w:val="28"/>
          <w:szCs w:val="28"/>
        </w:rPr>
        <w:t>do not claim to have systematic, robust, and repeatable ERM processes with regular reporting to the board, the trends suggest that more organizations are moving in that direction over time. As demonstrated by the data in the table above, a noticeably higher percentage of large organizations, public companies, and financial services organizations believe they have a systematic, robust, and repeatable ERM process.</w:t>
      </w:r>
      <w:r w:rsidR="00063B82" w:rsidRPr="00B57E24">
        <w:rPr>
          <w:rFonts w:ascii="Browallia New" w:hAnsi="Browallia New" w:cs="Browallia New"/>
          <w:noProof/>
          <w:sz w:val="28"/>
          <w:szCs w:val="28"/>
        </w:rPr>
        <w:t xml:space="preserve"> </w:t>
      </w:r>
    </w:p>
    <w:p w14:paraId="1A6C92CC" w14:textId="77777777" w:rsidR="00F6494D"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There is notable variation across organizations of different sizes and types in how key risks are communicated by business unit leaders to senior executives. According to the data in the table </w:t>
      </w:r>
      <w:r w:rsidR="00063B82" w:rsidRPr="00B57E24">
        <w:rPr>
          <w:rFonts w:ascii="Browallia New" w:hAnsi="Browallia New" w:cs="Browallia New"/>
          <w:sz w:val="28"/>
          <w:szCs w:val="28"/>
        </w:rPr>
        <w:t>on the next page</w:t>
      </w:r>
      <w:r w:rsidRPr="00B57E24">
        <w:rPr>
          <w:rFonts w:ascii="Browallia New" w:hAnsi="Browallia New" w:cs="Browallia New"/>
          <w:sz w:val="28"/>
          <w:szCs w:val="28"/>
        </w:rPr>
        <w:t>, about half (</w:t>
      </w:r>
      <w:r w:rsidR="00063B82" w:rsidRPr="00B57E24">
        <w:rPr>
          <w:rFonts w:ascii="Browallia New" w:hAnsi="Browallia New" w:cs="Browallia New"/>
          <w:sz w:val="28"/>
          <w:szCs w:val="28"/>
        </w:rPr>
        <w:t>53</w:t>
      </w:r>
      <w:r w:rsidRPr="00B57E24">
        <w:rPr>
          <w:rFonts w:ascii="Browallia New" w:hAnsi="Browallia New" w:cs="Browallia New"/>
          <w:sz w:val="28"/>
          <w:szCs w:val="28"/>
        </w:rPr>
        <w:t xml:space="preserve">%) of organizations communicate key risks merely on an </w:t>
      </w:r>
      <w:r w:rsidRPr="00B57E24">
        <w:rPr>
          <w:rFonts w:ascii="Browallia New" w:hAnsi="Browallia New" w:cs="Browallia New"/>
          <w:i/>
          <w:sz w:val="28"/>
          <w:szCs w:val="28"/>
        </w:rPr>
        <w:t>ad hoc</w:t>
      </w:r>
      <w:r w:rsidRPr="00B57E24">
        <w:rPr>
          <w:rFonts w:ascii="Browallia New" w:hAnsi="Browallia New" w:cs="Browallia New"/>
          <w:sz w:val="28"/>
          <w:szCs w:val="28"/>
        </w:rPr>
        <w:t xml:space="preserve"> basis at management meetings. Only 30% of the organizations surveyed scheduled agenda time to discuss key risks at management meetings. The percentage of organizations scheduling agenda discussions about risks at management meetings has been rel</w:t>
      </w:r>
      <w:r w:rsidR="00431ADF" w:rsidRPr="00B57E24">
        <w:rPr>
          <w:rFonts w:ascii="Browallia New" w:hAnsi="Browallia New" w:cs="Browallia New"/>
          <w:sz w:val="28"/>
          <w:szCs w:val="28"/>
        </w:rPr>
        <w:t xml:space="preserve">atively flat over the last </w:t>
      </w:r>
      <w:r w:rsidR="00AF7584">
        <w:rPr>
          <w:rFonts w:ascii="Browallia New" w:hAnsi="Browallia New" w:cs="Browallia New"/>
          <w:sz w:val="28"/>
          <w:szCs w:val="28"/>
        </w:rPr>
        <w:t>nine</w:t>
      </w:r>
      <w:r w:rsidRPr="00B57E24">
        <w:rPr>
          <w:rFonts w:ascii="Browallia New" w:hAnsi="Browallia New" w:cs="Browallia New"/>
          <w:sz w:val="28"/>
          <w:szCs w:val="28"/>
        </w:rPr>
        <w:t xml:space="preserve"> years we have tracked this data point (</w:t>
      </w:r>
      <w:r w:rsidR="00431ADF" w:rsidRPr="00B57E24">
        <w:rPr>
          <w:rFonts w:ascii="Browallia New" w:hAnsi="Browallia New" w:cs="Browallia New"/>
          <w:sz w:val="28"/>
          <w:szCs w:val="28"/>
        </w:rPr>
        <w:t xml:space="preserve">30% in 2016, </w:t>
      </w:r>
      <w:r w:rsidRPr="00B57E24">
        <w:rPr>
          <w:rFonts w:ascii="Browallia New" w:hAnsi="Browallia New" w:cs="Browallia New"/>
          <w:sz w:val="28"/>
          <w:szCs w:val="28"/>
        </w:rPr>
        <w:t xml:space="preserve">27% in 2015, 27% in 2014, 34% in 2013, 33% in 2012, 33% in 2011, 29% in 2010 and 2009). </w:t>
      </w:r>
    </w:p>
    <w:p w14:paraId="3F15D1A4" w14:textId="77777777" w:rsidR="00F6494D" w:rsidRDefault="00F6494D" w:rsidP="00B57E24">
      <w:pPr>
        <w:spacing w:line="204" w:lineRule="auto"/>
        <w:jc w:val="both"/>
        <w:rPr>
          <w:rFonts w:ascii="Browallia New" w:hAnsi="Browallia New" w:cs="Browallia New"/>
          <w:sz w:val="28"/>
          <w:szCs w:val="28"/>
        </w:rPr>
      </w:pPr>
    </w:p>
    <w:p w14:paraId="3754028E" w14:textId="5F4FC9F0" w:rsidR="00063B82" w:rsidRPr="00181B6D" w:rsidRDefault="00F6494D" w:rsidP="00B57E24">
      <w:pPr>
        <w:spacing w:line="204" w:lineRule="auto"/>
        <w:jc w:val="both"/>
        <w:rPr>
          <w:rStyle w:val="IntenseReference"/>
          <w:color w:val="auto"/>
        </w:rPr>
      </w:pPr>
      <w:r w:rsidRPr="00181B6D">
        <w:rPr>
          <w:rStyle w:val="IntenseReference"/>
          <w:color w:val="auto"/>
        </w:rPr>
        <w:lastRenderedPageBreak/>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080"/>
        <w:gridCol w:w="1620"/>
        <w:gridCol w:w="1327"/>
        <w:gridCol w:w="1388"/>
        <w:gridCol w:w="1533"/>
      </w:tblGrid>
      <w:tr w:rsidR="006F5979" w:rsidRPr="00F46D57" w14:paraId="7DCF0060" w14:textId="77777777" w:rsidTr="00F6494D">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2628" w:type="dxa"/>
            <w:shd w:val="clear" w:color="auto" w:fill="A6A6A6" w:themeFill="background1" w:themeFillShade="A6"/>
          </w:tcPr>
          <w:p w14:paraId="7D75A72B" w14:textId="77777777" w:rsidR="006F5979" w:rsidRPr="003B1178" w:rsidRDefault="006F5979" w:rsidP="00063B82">
            <w:pPr>
              <w:spacing w:line="204" w:lineRule="auto"/>
              <w:rPr>
                <w:rFonts w:ascii="Browallia New" w:hAnsi="Browallia New" w:cs="Browallia New"/>
                <w:color w:val="auto"/>
              </w:rPr>
            </w:pPr>
            <w:r w:rsidRPr="003B1178">
              <w:rPr>
                <w:rFonts w:ascii="Browallia New" w:hAnsi="Browallia New" w:cs="Browallia New"/>
                <w:color w:val="auto"/>
              </w:rPr>
              <w:t xml:space="preserve">How are risks communicated from business unit leaders to senior </w:t>
            </w:r>
            <w:r w:rsidRPr="003B1178">
              <w:rPr>
                <w:rFonts w:ascii="Browallia New" w:hAnsi="Browallia New" w:cs="Browallia New"/>
                <w:color w:val="auto"/>
                <w:u w:val="single"/>
              </w:rPr>
              <w:t>executives?</w:t>
            </w:r>
          </w:p>
        </w:tc>
        <w:tc>
          <w:tcPr>
            <w:tcW w:w="1080" w:type="dxa"/>
            <w:shd w:val="clear" w:color="auto" w:fill="A6A6A6" w:themeFill="background1" w:themeFillShade="A6"/>
          </w:tcPr>
          <w:p w14:paraId="259B27C4"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C514984"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657E3973"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620" w:type="dxa"/>
            <w:shd w:val="clear" w:color="auto" w:fill="A6A6A6" w:themeFill="background1" w:themeFillShade="A6"/>
          </w:tcPr>
          <w:p w14:paraId="366ECB37"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r w:rsidRPr="003B1178">
              <w:rPr>
                <w:rFonts w:ascii="Browallia New" w:hAnsi="Browallia New" w:cs="Browallia New"/>
                <w:color w:val="auto"/>
                <w:u w:val="single"/>
              </w:rPr>
              <w:t>(Revenues &gt;$1B)</w:t>
            </w:r>
          </w:p>
        </w:tc>
        <w:tc>
          <w:tcPr>
            <w:tcW w:w="1327" w:type="dxa"/>
            <w:shd w:val="clear" w:color="auto" w:fill="A6A6A6" w:themeFill="background1" w:themeFillShade="A6"/>
          </w:tcPr>
          <w:p w14:paraId="5376E009"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27D980F"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388" w:type="dxa"/>
            <w:shd w:val="clear" w:color="auto" w:fill="A6A6A6" w:themeFill="background1" w:themeFillShade="A6"/>
          </w:tcPr>
          <w:p w14:paraId="773F224E"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C1406A4"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374FA89B"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33" w:type="dxa"/>
            <w:shd w:val="clear" w:color="auto" w:fill="A6A6A6" w:themeFill="background1" w:themeFillShade="A6"/>
          </w:tcPr>
          <w:p w14:paraId="060412C9"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5515FA4" w14:textId="77777777" w:rsidR="006F5979" w:rsidRPr="003B1178" w:rsidRDefault="006F5979" w:rsidP="00063B82">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6F5979" w:rsidRPr="00F46D57" w14:paraId="1D0C0EB7" w14:textId="77777777" w:rsidTr="00F6494D">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tcBorders>
            <w:shd w:val="clear" w:color="auto" w:fill="FFFFFF" w:themeFill="background1"/>
          </w:tcPr>
          <w:p w14:paraId="094E4F00" w14:textId="77777777" w:rsidR="006F5979" w:rsidRPr="003B1178" w:rsidRDefault="006F5979" w:rsidP="00063B82">
            <w:pPr>
              <w:spacing w:line="204" w:lineRule="auto"/>
              <w:rPr>
                <w:rFonts w:ascii="Browallia New" w:hAnsi="Browallia New" w:cs="Browallia New"/>
              </w:rPr>
            </w:pPr>
            <w:r w:rsidRPr="003B1178">
              <w:rPr>
                <w:rFonts w:ascii="Browallia New" w:hAnsi="Browallia New" w:cs="Browallia New"/>
                <w:i/>
              </w:rPr>
              <w:t>Ad hoc</w:t>
            </w:r>
            <w:r w:rsidRPr="003B1178">
              <w:rPr>
                <w:rFonts w:ascii="Browallia New" w:hAnsi="Browallia New" w:cs="Browallia New"/>
              </w:rPr>
              <w:t xml:space="preserve"> discussions at management meetings</w:t>
            </w:r>
          </w:p>
        </w:tc>
        <w:tc>
          <w:tcPr>
            <w:tcW w:w="1080" w:type="dxa"/>
            <w:tcBorders>
              <w:top w:val="none" w:sz="0" w:space="0" w:color="auto"/>
              <w:bottom w:val="none" w:sz="0" w:space="0" w:color="auto"/>
            </w:tcBorders>
            <w:shd w:val="clear" w:color="auto" w:fill="FFFFFF" w:themeFill="background1"/>
          </w:tcPr>
          <w:p w14:paraId="1C396AAD"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53%</w:t>
            </w:r>
          </w:p>
        </w:tc>
        <w:tc>
          <w:tcPr>
            <w:tcW w:w="1620" w:type="dxa"/>
            <w:tcBorders>
              <w:top w:val="none" w:sz="0" w:space="0" w:color="auto"/>
              <w:bottom w:val="none" w:sz="0" w:space="0" w:color="auto"/>
            </w:tcBorders>
            <w:shd w:val="clear" w:color="auto" w:fill="FFFFFF" w:themeFill="background1"/>
          </w:tcPr>
          <w:p w14:paraId="61BE20C0"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c>
          <w:tcPr>
            <w:tcW w:w="1327" w:type="dxa"/>
            <w:tcBorders>
              <w:top w:val="none" w:sz="0" w:space="0" w:color="auto"/>
              <w:bottom w:val="none" w:sz="0" w:space="0" w:color="auto"/>
            </w:tcBorders>
            <w:shd w:val="clear" w:color="auto" w:fill="FFFFFF" w:themeFill="background1"/>
          </w:tcPr>
          <w:p w14:paraId="55FB3E8A"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33%</w:t>
            </w:r>
          </w:p>
        </w:tc>
        <w:tc>
          <w:tcPr>
            <w:tcW w:w="1388" w:type="dxa"/>
            <w:tcBorders>
              <w:top w:val="none" w:sz="0" w:space="0" w:color="auto"/>
              <w:bottom w:val="none" w:sz="0" w:space="0" w:color="auto"/>
            </w:tcBorders>
            <w:shd w:val="clear" w:color="auto" w:fill="FFFFFF" w:themeFill="background1"/>
          </w:tcPr>
          <w:p w14:paraId="229B1757"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533" w:type="dxa"/>
            <w:tcBorders>
              <w:top w:val="none" w:sz="0" w:space="0" w:color="auto"/>
              <w:bottom w:val="none" w:sz="0" w:space="0" w:color="auto"/>
              <w:right w:val="none" w:sz="0" w:space="0" w:color="auto"/>
            </w:tcBorders>
            <w:shd w:val="clear" w:color="auto" w:fill="FFFFFF" w:themeFill="background1"/>
          </w:tcPr>
          <w:p w14:paraId="32DB2AF7"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52%</w:t>
            </w:r>
          </w:p>
        </w:tc>
      </w:tr>
      <w:tr w:rsidR="006F5979" w:rsidRPr="00F46D57" w14:paraId="2B69D6CF" w14:textId="77777777" w:rsidTr="00F6494D">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729D32CE" w14:textId="77777777" w:rsidR="006F5979" w:rsidRPr="003B1178" w:rsidRDefault="006F5979" w:rsidP="00063B82">
            <w:pPr>
              <w:spacing w:line="204" w:lineRule="auto"/>
              <w:rPr>
                <w:rFonts w:ascii="Browallia New" w:hAnsi="Browallia New" w:cs="Browallia New"/>
              </w:rPr>
            </w:pPr>
            <w:r w:rsidRPr="003B1178">
              <w:rPr>
                <w:rFonts w:ascii="Browallia New" w:hAnsi="Browallia New" w:cs="Browallia New"/>
              </w:rPr>
              <w:t>Scheduled agenda discussion at management meetings</w:t>
            </w:r>
          </w:p>
          <w:p w14:paraId="13B30F1C" w14:textId="77777777" w:rsidR="00063B82" w:rsidRPr="003B1178" w:rsidRDefault="00063B82" w:rsidP="00063B82">
            <w:pPr>
              <w:spacing w:line="204" w:lineRule="auto"/>
              <w:rPr>
                <w:rFonts w:ascii="Browallia New" w:hAnsi="Browallia New" w:cs="Browallia New"/>
              </w:rPr>
            </w:pPr>
          </w:p>
        </w:tc>
        <w:tc>
          <w:tcPr>
            <w:tcW w:w="1080" w:type="dxa"/>
            <w:shd w:val="clear" w:color="auto" w:fill="FFFFFF" w:themeFill="background1"/>
          </w:tcPr>
          <w:p w14:paraId="57576BD4"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30%</w:t>
            </w:r>
          </w:p>
        </w:tc>
        <w:tc>
          <w:tcPr>
            <w:tcW w:w="1620" w:type="dxa"/>
            <w:shd w:val="clear" w:color="auto" w:fill="FFFFFF" w:themeFill="background1"/>
          </w:tcPr>
          <w:p w14:paraId="4FD088DE"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41%</w:t>
            </w:r>
          </w:p>
        </w:tc>
        <w:tc>
          <w:tcPr>
            <w:tcW w:w="1327" w:type="dxa"/>
            <w:shd w:val="clear" w:color="auto" w:fill="FFFFFF" w:themeFill="background1"/>
          </w:tcPr>
          <w:p w14:paraId="0E1F9939"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c>
          <w:tcPr>
            <w:tcW w:w="1388" w:type="dxa"/>
            <w:shd w:val="clear" w:color="auto" w:fill="FFFFFF" w:themeFill="background1"/>
          </w:tcPr>
          <w:p w14:paraId="6D45DAC0"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c>
          <w:tcPr>
            <w:tcW w:w="1533" w:type="dxa"/>
            <w:shd w:val="clear" w:color="auto" w:fill="FFFFFF" w:themeFill="background1"/>
          </w:tcPr>
          <w:p w14:paraId="2BE5D6B0" w14:textId="77777777" w:rsidR="006F5979" w:rsidRPr="003B1178" w:rsidRDefault="00103A06" w:rsidP="00063B82">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33%</w:t>
            </w:r>
          </w:p>
        </w:tc>
      </w:tr>
      <w:tr w:rsidR="006F5979" w:rsidRPr="00F46D57" w14:paraId="5CA6B390"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tcBorders>
            <w:shd w:val="clear" w:color="auto" w:fill="FFFFFF" w:themeFill="background1"/>
          </w:tcPr>
          <w:p w14:paraId="166297DF" w14:textId="77777777" w:rsidR="006F5979" w:rsidRPr="003B1178" w:rsidRDefault="006F5979" w:rsidP="00063B82">
            <w:pPr>
              <w:spacing w:line="204" w:lineRule="auto"/>
              <w:rPr>
                <w:rFonts w:ascii="Browallia New" w:hAnsi="Browallia New" w:cs="Browallia New"/>
              </w:rPr>
            </w:pPr>
            <w:r w:rsidRPr="003B1178">
              <w:rPr>
                <w:rFonts w:ascii="Browallia New" w:hAnsi="Browallia New" w:cs="Browallia New"/>
              </w:rPr>
              <w:t>Written reports prepared either monthly, quarterly, or annually</w:t>
            </w:r>
          </w:p>
        </w:tc>
        <w:tc>
          <w:tcPr>
            <w:tcW w:w="1080" w:type="dxa"/>
            <w:tcBorders>
              <w:top w:val="none" w:sz="0" w:space="0" w:color="auto"/>
              <w:bottom w:val="none" w:sz="0" w:space="0" w:color="auto"/>
            </w:tcBorders>
            <w:shd w:val="clear" w:color="auto" w:fill="FFFFFF" w:themeFill="background1"/>
          </w:tcPr>
          <w:p w14:paraId="5F69033A"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49%</w:t>
            </w:r>
          </w:p>
        </w:tc>
        <w:tc>
          <w:tcPr>
            <w:tcW w:w="1620" w:type="dxa"/>
            <w:tcBorders>
              <w:top w:val="none" w:sz="0" w:space="0" w:color="auto"/>
              <w:bottom w:val="none" w:sz="0" w:space="0" w:color="auto"/>
            </w:tcBorders>
            <w:shd w:val="clear" w:color="auto" w:fill="FFFFFF" w:themeFill="background1"/>
          </w:tcPr>
          <w:p w14:paraId="5AADB145"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76%</w:t>
            </w:r>
          </w:p>
        </w:tc>
        <w:tc>
          <w:tcPr>
            <w:tcW w:w="1327" w:type="dxa"/>
            <w:tcBorders>
              <w:top w:val="none" w:sz="0" w:space="0" w:color="auto"/>
              <w:bottom w:val="none" w:sz="0" w:space="0" w:color="auto"/>
            </w:tcBorders>
            <w:shd w:val="clear" w:color="auto" w:fill="FFFFFF" w:themeFill="background1"/>
          </w:tcPr>
          <w:p w14:paraId="54767ECE"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82%</w:t>
            </w:r>
          </w:p>
        </w:tc>
        <w:tc>
          <w:tcPr>
            <w:tcW w:w="1388" w:type="dxa"/>
            <w:tcBorders>
              <w:top w:val="none" w:sz="0" w:space="0" w:color="auto"/>
              <w:bottom w:val="none" w:sz="0" w:space="0" w:color="auto"/>
            </w:tcBorders>
            <w:shd w:val="clear" w:color="auto" w:fill="FFFFFF" w:themeFill="background1"/>
          </w:tcPr>
          <w:p w14:paraId="60EB7D66"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74%</w:t>
            </w:r>
          </w:p>
        </w:tc>
        <w:tc>
          <w:tcPr>
            <w:tcW w:w="1533" w:type="dxa"/>
            <w:tcBorders>
              <w:top w:val="none" w:sz="0" w:space="0" w:color="auto"/>
              <w:bottom w:val="none" w:sz="0" w:space="0" w:color="auto"/>
              <w:right w:val="none" w:sz="0" w:space="0" w:color="auto"/>
            </w:tcBorders>
            <w:shd w:val="clear" w:color="auto" w:fill="FFFFFF" w:themeFill="background1"/>
          </w:tcPr>
          <w:p w14:paraId="4536A6B8" w14:textId="77777777" w:rsidR="006F5979" w:rsidRPr="003B1178" w:rsidRDefault="00103A06" w:rsidP="00063B82">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r>
    </w:tbl>
    <w:p w14:paraId="02438989" w14:textId="77777777" w:rsidR="006F5979" w:rsidRPr="00F46D57" w:rsidRDefault="006F5979" w:rsidP="006F5979">
      <w:pPr>
        <w:jc w:val="both"/>
        <w:rPr>
          <w:rFonts w:ascii="Browallia New" w:hAnsi="Browallia New" w:cs="Browallia New"/>
          <w:sz w:val="18"/>
          <w:szCs w:val="18"/>
        </w:rPr>
      </w:pPr>
      <w:r w:rsidRPr="00F46D57">
        <w:rPr>
          <w:rFonts w:ascii="Browallia New" w:hAnsi="Browallia New" w:cs="Browallia New"/>
          <w:sz w:val="18"/>
          <w:szCs w:val="18"/>
        </w:rPr>
        <w:t>Note: Respondents could select more than one choice. Thus, the sum of the percentages exceeds 100%.</w:t>
      </w:r>
    </w:p>
    <w:p w14:paraId="740007A9"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Surprisingly, just over half (5</w:t>
      </w:r>
      <w:r w:rsidR="007629AA" w:rsidRPr="00B57E24">
        <w:rPr>
          <w:rFonts w:ascii="Browallia New" w:hAnsi="Browallia New" w:cs="Browallia New"/>
          <w:sz w:val="28"/>
          <w:szCs w:val="28"/>
        </w:rPr>
        <w:t>5</w:t>
      </w:r>
      <w:r w:rsidRPr="00B57E24">
        <w:rPr>
          <w:rFonts w:ascii="Browallia New" w:hAnsi="Browallia New" w:cs="Browallia New"/>
          <w:sz w:val="28"/>
          <w:szCs w:val="28"/>
        </w:rPr>
        <w:t xml:space="preserve">%) of those in the full sample indicate that the full board </w:t>
      </w:r>
      <w:r w:rsidR="007629AA" w:rsidRPr="00B57E24">
        <w:rPr>
          <w:rFonts w:ascii="Browallia New" w:hAnsi="Browallia New" w:cs="Browallia New"/>
          <w:sz w:val="28"/>
          <w:szCs w:val="28"/>
        </w:rPr>
        <w:t xml:space="preserve">formally reviews and discusses the top risk exposures in a specific meeting of the board. This is much more likely for </w:t>
      </w:r>
      <w:r w:rsidRPr="00B57E24">
        <w:rPr>
          <w:rFonts w:ascii="Browallia New" w:hAnsi="Browallia New" w:cs="Browallia New"/>
          <w:sz w:val="28"/>
          <w:szCs w:val="28"/>
        </w:rPr>
        <w:t>boards of the largest organizations, public companies and financial services organizations.</w:t>
      </w:r>
    </w:p>
    <w:tbl>
      <w:tblPr>
        <w:tblStyle w:val="LightList-Accent3"/>
        <w:tblW w:w="95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20"/>
        <w:gridCol w:w="288"/>
        <w:gridCol w:w="792"/>
        <w:gridCol w:w="1818"/>
        <w:gridCol w:w="1350"/>
        <w:gridCol w:w="1260"/>
        <w:gridCol w:w="15"/>
        <w:gridCol w:w="75"/>
        <w:gridCol w:w="1458"/>
      </w:tblGrid>
      <w:tr w:rsidR="006F5979" w:rsidRPr="00F46D57" w14:paraId="3272213F" w14:textId="77777777" w:rsidTr="00E12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gridSpan w:val="2"/>
            <w:tcBorders>
              <w:top w:val="thinThickThinLargeGap" w:sz="24" w:space="0" w:color="C48B01" w:themeColor="accent2" w:themeShade="BF"/>
            </w:tcBorders>
            <w:shd w:val="clear" w:color="auto" w:fill="0070C0"/>
          </w:tcPr>
          <w:p w14:paraId="4032D5C2" w14:textId="77777777" w:rsidR="006F5979" w:rsidRPr="007629AA" w:rsidRDefault="006F5979" w:rsidP="00DA236B">
            <w:pPr>
              <w:jc w:val="both"/>
              <w:rPr>
                <w:rFonts w:ascii="Browallia New" w:hAnsi="Browallia New" w:cs="Browallia New"/>
                <w:sz w:val="28"/>
                <w:szCs w:val="28"/>
              </w:rPr>
            </w:pPr>
            <w:r w:rsidRPr="007629AA">
              <w:rPr>
                <w:rFonts w:ascii="Browallia New" w:hAnsi="Browallia New" w:cs="Browallia New"/>
                <w:sz w:val="28"/>
                <w:szCs w:val="28"/>
              </w:rPr>
              <w:br w:type="page"/>
            </w:r>
            <w:r w:rsidRPr="007629AA">
              <w:rPr>
                <w:rFonts w:ascii="Browallia New" w:hAnsi="Browallia New" w:cs="Browallia New"/>
                <w:sz w:val="28"/>
                <w:szCs w:val="28"/>
              </w:rPr>
              <w:br w:type="page"/>
            </w:r>
          </w:p>
        </w:tc>
        <w:tc>
          <w:tcPr>
            <w:tcW w:w="5235" w:type="dxa"/>
            <w:gridSpan w:val="5"/>
            <w:tcBorders>
              <w:top w:val="thinThickThinLargeGap" w:sz="24" w:space="0" w:color="C48B01" w:themeColor="accent2" w:themeShade="BF"/>
            </w:tcBorders>
            <w:shd w:val="clear" w:color="auto" w:fill="0070C0"/>
          </w:tcPr>
          <w:p w14:paraId="793F4B84" w14:textId="77777777" w:rsidR="006F5979" w:rsidRPr="007629AA"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7629AA">
              <w:rPr>
                <w:rFonts w:ascii="Browallia New" w:hAnsi="Browallia New" w:cs="Browallia New"/>
                <w:sz w:val="28"/>
                <w:szCs w:val="28"/>
              </w:rPr>
              <w:t xml:space="preserve">Percentage of Respondents </w:t>
            </w:r>
          </w:p>
        </w:tc>
        <w:tc>
          <w:tcPr>
            <w:tcW w:w="1533" w:type="dxa"/>
            <w:gridSpan w:val="2"/>
            <w:tcBorders>
              <w:top w:val="thinThickThinLargeGap" w:sz="24" w:space="0" w:color="C48B01" w:themeColor="accent2" w:themeShade="BF"/>
            </w:tcBorders>
            <w:shd w:val="clear" w:color="auto" w:fill="0070C0"/>
          </w:tcPr>
          <w:p w14:paraId="0C40F134" w14:textId="77777777" w:rsidR="006F5979" w:rsidRPr="007629AA"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p>
        </w:tc>
      </w:tr>
      <w:tr w:rsidR="007629AA" w:rsidRPr="007629AA" w14:paraId="33DDE142" w14:textId="77777777" w:rsidTr="00762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tcBorders>
            <w:shd w:val="clear" w:color="auto" w:fill="FFFFFF" w:themeFill="background1"/>
          </w:tcPr>
          <w:p w14:paraId="5F72410E" w14:textId="77777777" w:rsidR="006F5979" w:rsidRPr="003B1178" w:rsidRDefault="006F5979" w:rsidP="007629AA">
            <w:pPr>
              <w:spacing w:line="204" w:lineRule="auto"/>
              <w:rPr>
                <w:rFonts w:ascii="Browallia New" w:hAnsi="Browallia New" w:cs="Browallia New"/>
              </w:rPr>
            </w:pPr>
            <w:r w:rsidRPr="003B1178">
              <w:rPr>
                <w:rFonts w:ascii="Browallia New" w:hAnsi="Browallia New" w:cs="Browallia New"/>
              </w:rPr>
              <w:t xml:space="preserve">Percentage of organizations </w:t>
            </w:r>
            <w:proofErr w:type="gramStart"/>
            <w:r w:rsidRPr="003B1178">
              <w:rPr>
                <w:rFonts w:ascii="Browallia New" w:hAnsi="Browallia New" w:cs="Browallia New"/>
                <w:u w:val="single"/>
              </w:rPr>
              <w:t>where</w:t>
            </w:r>
            <w:proofErr w:type="gramEnd"/>
            <w:r w:rsidRPr="003B1178">
              <w:rPr>
                <w:rFonts w:ascii="Browallia New" w:hAnsi="Browallia New" w:cs="Browallia New"/>
                <w:u w:val="single"/>
              </w:rPr>
              <w:t xml:space="preserve"> the</w:t>
            </w:r>
          </w:p>
          <w:p w14:paraId="3D36A7C1" w14:textId="77777777" w:rsidR="006F5979" w:rsidRPr="003B1178" w:rsidRDefault="006F5979" w:rsidP="007629AA">
            <w:pPr>
              <w:spacing w:line="204" w:lineRule="auto"/>
              <w:rPr>
                <w:rFonts w:ascii="Browallia New" w:hAnsi="Browallia New" w:cs="Browallia New"/>
              </w:rPr>
            </w:pPr>
          </w:p>
        </w:tc>
        <w:tc>
          <w:tcPr>
            <w:tcW w:w="1080" w:type="dxa"/>
            <w:gridSpan w:val="2"/>
            <w:tcBorders>
              <w:top w:val="none" w:sz="0" w:space="0" w:color="auto"/>
              <w:bottom w:val="none" w:sz="0" w:space="0" w:color="auto"/>
            </w:tcBorders>
            <w:shd w:val="clear" w:color="auto" w:fill="FFFFFF" w:themeFill="background1"/>
          </w:tcPr>
          <w:p w14:paraId="74CE5FA4" w14:textId="77777777" w:rsidR="006F5979" w:rsidRPr="003B1178" w:rsidRDefault="006F5979" w:rsidP="007629A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Full </w:t>
            </w:r>
          </w:p>
          <w:p w14:paraId="2C381030" w14:textId="77777777" w:rsidR="006F5979" w:rsidRPr="003B1178" w:rsidRDefault="006F5979" w:rsidP="007629A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Sample</w:t>
            </w:r>
          </w:p>
        </w:tc>
        <w:tc>
          <w:tcPr>
            <w:tcW w:w="1818" w:type="dxa"/>
            <w:tcBorders>
              <w:top w:val="none" w:sz="0" w:space="0" w:color="auto"/>
              <w:bottom w:val="none" w:sz="0" w:space="0" w:color="auto"/>
            </w:tcBorders>
            <w:shd w:val="clear" w:color="auto" w:fill="FFFFFF" w:themeFill="background1"/>
          </w:tcPr>
          <w:p w14:paraId="7DD1D3C8" w14:textId="77777777" w:rsidR="006F5979" w:rsidRPr="003B1178" w:rsidRDefault="006F5979" w:rsidP="007629A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Largest Organizations </w:t>
            </w:r>
            <w:r w:rsidRPr="003B1178">
              <w:rPr>
                <w:rFonts w:ascii="Browallia New" w:hAnsi="Browallia New" w:cs="Browallia New"/>
                <w:b/>
                <w:u w:val="single"/>
              </w:rPr>
              <w:t>(Revenues &gt;$1B)</w:t>
            </w:r>
          </w:p>
        </w:tc>
        <w:tc>
          <w:tcPr>
            <w:tcW w:w="1350" w:type="dxa"/>
            <w:tcBorders>
              <w:top w:val="none" w:sz="0" w:space="0" w:color="auto"/>
              <w:bottom w:val="none" w:sz="0" w:space="0" w:color="auto"/>
            </w:tcBorders>
            <w:shd w:val="clear" w:color="auto" w:fill="FFFFFF" w:themeFill="background1"/>
          </w:tcPr>
          <w:p w14:paraId="75B69165" w14:textId="77777777" w:rsidR="006F5979" w:rsidRPr="003B1178" w:rsidRDefault="006F5979" w:rsidP="007629A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Public </w:t>
            </w:r>
            <w:r w:rsidRPr="003B1178">
              <w:rPr>
                <w:rFonts w:ascii="Browallia New" w:hAnsi="Browallia New" w:cs="Browallia New"/>
                <w:b/>
                <w:u w:val="single"/>
              </w:rPr>
              <w:t>Companies</w:t>
            </w:r>
          </w:p>
        </w:tc>
        <w:tc>
          <w:tcPr>
            <w:tcW w:w="1260" w:type="dxa"/>
            <w:tcBorders>
              <w:top w:val="none" w:sz="0" w:space="0" w:color="auto"/>
              <w:bottom w:val="none" w:sz="0" w:space="0" w:color="auto"/>
            </w:tcBorders>
            <w:shd w:val="clear" w:color="auto" w:fill="FFFFFF" w:themeFill="background1"/>
          </w:tcPr>
          <w:p w14:paraId="77F4C5B3" w14:textId="77777777" w:rsidR="006F5979" w:rsidRPr="003B1178" w:rsidRDefault="006F5979" w:rsidP="007629A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Financial </w:t>
            </w:r>
          </w:p>
          <w:p w14:paraId="04516788" w14:textId="77777777" w:rsidR="006F5979" w:rsidRPr="003B1178" w:rsidRDefault="006F5979" w:rsidP="007629A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 xml:space="preserve">Services </w:t>
            </w:r>
          </w:p>
        </w:tc>
        <w:tc>
          <w:tcPr>
            <w:tcW w:w="1548" w:type="dxa"/>
            <w:gridSpan w:val="3"/>
            <w:tcBorders>
              <w:top w:val="none" w:sz="0" w:space="0" w:color="auto"/>
              <w:bottom w:val="none" w:sz="0" w:space="0" w:color="auto"/>
              <w:right w:val="none" w:sz="0" w:space="0" w:color="auto"/>
            </w:tcBorders>
            <w:shd w:val="clear" w:color="auto" w:fill="FFFFFF" w:themeFill="background1"/>
          </w:tcPr>
          <w:p w14:paraId="41FD777D" w14:textId="77777777" w:rsidR="006F5979" w:rsidRPr="003B1178" w:rsidRDefault="006F5979" w:rsidP="007629AA">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Not-for-Profit </w:t>
            </w:r>
            <w:r w:rsidRPr="003B1178">
              <w:rPr>
                <w:rFonts w:ascii="Browallia New" w:hAnsi="Browallia New" w:cs="Browallia New"/>
                <w:b/>
                <w:u w:val="single"/>
              </w:rPr>
              <w:t>Organizations</w:t>
            </w:r>
          </w:p>
        </w:tc>
      </w:tr>
      <w:tr w:rsidR="007629AA" w:rsidRPr="007629AA" w14:paraId="7D4C5832" w14:textId="77777777" w:rsidTr="007629AA">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62177B90" w14:textId="77777777" w:rsidR="006F5979" w:rsidRPr="003B1178" w:rsidRDefault="006F5979" w:rsidP="007629AA">
            <w:pPr>
              <w:spacing w:line="204" w:lineRule="auto"/>
              <w:rPr>
                <w:rFonts w:ascii="Browallia New" w:hAnsi="Browallia New" w:cs="Browallia New"/>
              </w:rPr>
            </w:pPr>
            <w:r w:rsidRPr="003B1178">
              <w:rPr>
                <w:rFonts w:ascii="Browallia New" w:hAnsi="Browallia New" w:cs="Browallia New"/>
              </w:rPr>
              <w:t>Board of Directors reviews and discusses in a specific meeting the top risk exposures facing the organization</w:t>
            </w:r>
          </w:p>
        </w:tc>
        <w:tc>
          <w:tcPr>
            <w:tcW w:w="1080" w:type="dxa"/>
            <w:gridSpan w:val="2"/>
            <w:shd w:val="clear" w:color="auto" w:fill="FFFFFF" w:themeFill="background1"/>
          </w:tcPr>
          <w:p w14:paraId="39EC344E" w14:textId="77777777" w:rsidR="006F5979" w:rsidRPr="003B1178" w:rsidRDefault="0067648C" w:rsidP="007629A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55%</w:t>
            </w:r>
          </w:p>
        </w:tc>
        <w:tc>
          <w:tcPr>
            <w:tcW w:w="1818" w:type="dxa"/>
            <w:shd w:val="clear" w:color="auto" w:fill="FFFFFF" w:themeFill="background1"/>
          </w:tcPr>
          <w:p w14:paraId="359F6AE1" w14:textId="77777777" w:rsidR="006F5979" w:rsidRPr="003B1178" w:rsidRDefault="0067648C" w:rsidP="007629A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72%</w:t>
            </w:r>
          </w:p>
        </w:tc>
        <w:tc>
          <w:tcPr>
            <w:tcW w:w="1350" w:type="dxa"/>
            <w:shd w:val="clear" w:color="auto" w:fill="FFFFFF" w:themeFill="background1"/>
          </w:tcPr>
          <w:p w14:paraId="3FD40BB6" w14:textId="77777777" w:rsidR="006F5979" w:rsidRPr="003B1178" w:rsidRDefault="0067648C" w:rsidP="007629A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75%</w:t>
            </w:r>
          </w:p>
        </w:tc>
        <w:tc>
          <w:tcPr>
            <w:tcW w:w="1350" w:type="dxa"/>
            <w:gridSpan w:val="3"/>
            <w:shd w:val="clear" w:color="auto" w:fill="FFFFFF" w:themeFill="background1"/>
          </w:tcPr>
          <w:p w14:paraId="44D21404" w14:textId="77777777" w:rsidR="006F5979" w:rsidRPr="003B1178" w:rsidRDefault="0067648C" w:rsidP="007629A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72%</w:t>
            </w:r>
          </w:p>
        </w:tc>
        <w:tc>
          <w:tcPr>
            <w:tcW w:w="1458" w:type="dxa"/>
            <w:shd w:val="clear" w:color="auto" w:fill="FFFFFF" w:themeFill="background1"/>
          </w:tcPr>
          <w:p w14:paraId="4A56C18F" w14:textId="77777777" w:rsidR="006F5979" w:rsidRPr="003B1178" w:rsidRDefault="0067648C" w:rsidP="00DA236B">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43%</w:t>
            </w:r>
          </w:p>
        </w:tc>
      </w:tr>
    </w:tbl>
    <w:p w14:paraId="74E080C7" w14:textId="77777777" w:rsidR="006F5979" w:rsidRPr="00F46D57" w:rsidRDefault="006F5979" w:rsidP="006F5979">
      <w:pPr>
        <w:jc w:val="both"/>
        <w:rPr>
          <w:rFonts w:ascii="Browallia New" w:hAnsi="Browallia New" w:cs="Browallia New"/>
        </w:rPr>
      </w:pPr>
    </w:p>
    <w:p w14:paraId="63B953FE"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As illustrated by the graph below, </w:t>
      </w:r>
      <w:r w:rsidR="00975C99" w:rsidRPr="00B57E24">
        <w:rPr>
          <w:rFonts w:ascii="Browallia New" w:hAnsi="Browallia New" w:cs="Browallia New"/>
          <w:sz w:val="28"/>
          <w:szCs w:val="28"/>
        </w:rPr>
        <w:t>59</w:t>
      </w:r>
      <w:r w:rsidRPr="00B57E24">
        <w:rPr>
          <w:rFonts w:ascii="Browallia New" w:hAnsi="Browallia New" w:cs="Browallia New"/>
          <w:sz w:val="28"/>
          <w:szCs w:val="28"/>
        </w:rPr>
        <w:t xml:space="preserve">% of the organizations provide a formal report at least annually to the board of directors or one of its committees describing the entity’s top risk exposures. This is noticeably higher than the percentages doing so </w:t>
      </w:r>
      <w:r w:rsidR="00975C99" w:rsidRPr="00B57E24">
        <w:rPr>
          <w:rFonts w:ascii="Browallia New" w:hAnsi="Browallia New" w:cs="Browallia New"/>
          <w:sz w:val="28"/>
          <w:szCs w:val="28"/>
        </w:rPr>
        <w:t>in</w:t>
      </w:r>
      <w:r w:rsidRPr="00B57E24">
        <w:rPr>
          <w:rFonts w:ascii="Browallia New" w:hAnsi="Browallia New" w:cs="Browallia New"/>
          <w:sz w:val="28"/>
          <w:szCs w:val="28"/>
        </w:rPr>
        <w:t xml:space="preserve"> 2009</w:t>
      </w:r>
      <w:r w:rsidR="00975C99" w:rsidRPr="00B57E24">
        <w:rPr>
          <w:rFonts w:ascii="Browallia New" w:hAnsi="Browallia New" w:cs="Browallia New"/>
          <w:sz w:val="28"/>
          <w:szCs w:val="28"/>
        </w:rPr>
        <w:t xml:space="preserve"> when </w:t>
      </w:r>
      <w:r w:rsidRPr="00B57E24">
        <w:rPr>
          <w:rFonts w:ascii="Browallia New" w:hAnsi="Browallia New" w:cs="Browallia New"/>
          <w:sz w:val="28"/>
          <w:szCs w:val="28"/>
        </w:rPr>
        <w:t xml:space="preserve">we found that only 26% of organizations </w:t>
      </w:r>
      <w:proofErr w:type="gramStart"/>
      <w:r w:rsidRPr="00B57E24">
        <w:rPr>
          <w:rFonts w:ascii="Browallia New" w:hAnsi="Browallia New" w:cs="Browallia New"/>
          <w:sz w:val="28"/>
          <w:szCs w:val="28"/>
        </w:rPr>
        <w:t>provided that</w:t>
      </w:r>
      <w:proofErr w:type="gramEnd"/>
      <w:r w:rsidRPr="00B57E24">
        <w:rPr>
          <w:rFonts w:ascii="Browallia New" w:hAnsi="Browallia New" w:cs="Browallia New"/>
          <w:sz w:val="28"/>
          <w:szCs w:val="28"/>
        </w:rPr>
        <w:t xml:space="preserve"> kind of information to the board at least annually. </w:t>
      </w:r>
      <w:r w:rsidR="00975C99" w:rsidRPr="00B57E24">
        <w:rPr>
          <w:rFonts w:ascii="Browallia New" w:hAnsi="Browallia New" w:cs="Browallia New"/>
          <w:sz w:val="28"/>
          <w:szCs w:val="28"/>
        </w:rPr>
        <w:t>Two years ago,</w:t>
      </w:r>
      <w:r w:rsidRPr="00B57E24">
        <w:rPr>
          <w:rFonts w:ascii="Browallia New" w:hAnsi="Browallia New" w:cs="Browallia New"/>
          <w:sz w:val="28"/>
          <w:szCs w:val="28"/>
        </w:rPr>
        <w:t xml:space="preserve"> that percentage was 5</w:t>
      </w:r>
      <w:r w:rsidR="00975C99" w:rsidRPr="00B57E24">
        <w:rPr>
          <w:rFonts w:ascii="Browallia New" w:hAnsi="Browallia New" w:cs="Browallia New"/>
          <w:sz w:val="28"/>
          <w:szCs w:val="28"/>
        </w:rPr>
        <w:t>1</w:t>
      </w:r>
      <w:r w:rsidRPr="00B57E24">
        <w:rPr>
          <w:rFonts w:ascii="Browallia New" w:hAnsi="Browallia New" w:cs="Browallia New"/>
          <w:sz w:val="28"/>
          <w:szCs w:val="28"/>
        </w:rPr>
        <w:t xml:space="preserve">% but </w:t>
      </w:r>
      <w:r w:rsidR="00CF6533">
        <w:rPr>
          <w:rFonts w:ascii="Browallia New" w:hAnsi="Browallia New" w:cs="Browallia New"/>
          <w:sz w:val="28"/>
          <w:szCs w:val="28"/>
        </w:rPr>
        <w:t>a higher percentage of management teams are doing so in the most recent two years</w:t>
      </w:r>
      <w:r w:rsidRPr="00B57E24">
        <w:rPr>
          <w:rFonts w:ascii="Browallia New" w:hAnsi="Browallia New" w:cs="Browallia New"/>
          <w:sz w:val="28"/>
          <w:szCs w:val="28"/>
        </w:rPr>
        <w:t>.</w:t>
      </w:r>
    </w:p>
    <w:p w14:paraId="57D8214C" w14:textId="77777777" w:rsidR="006F5979" w:rsidRPr="00F46D57" w:rsidRDefault="006F5979" w:rsidP="006F5979">
      <w:pPr>
        <w:jc w:val="both"/>
        <w:rPr>
          <w:rFonts w:ascii="Browallia New" w:hAnsi="Browallia New" w:cs="Browallia New"/>
        </w:rPr>
      </w:pPr>
      <w:r w:rsidRPr="00F46D57">
        <w:rPr>
          <w:rFonts w:ascii="Browallia New" w:hAnsi="Browallia New" w:cs="Browallia New"/>
          <w:noProof/>
        </w:rPr>
        <w:lastRenderedPageBreak/>
        <w:drawing>
          <wp:inline distT="0" distB="0" distL="0" distR="0" wp14:anchorId="4544F949" wp14:editId="70CC9934">
            <wp:extent cx="6068786" cy="2686050"/>
            <wp:effectExtent l="0" t="0" r="8255" b="0"/>
            <wp:docPr id="2" name="Chart 7" descr="Bar chart of organizations providing formal report to board describing top risk exposures at least annually from 2009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9823B46" w14:textId="77777777" w:rsidR="00FE0B2E"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As illustrated by the </w:t>
      </w:r>
      <w:r w:rsidR="000C55EC" w:rsidRPr="00B57E24">
        <w:rPr>
          <w:rFonts w:ascii="Browallia New" w:hAnsi="Browallia New" w:cs="Browallia New"/>
          <w:sz w:val="28"/>
          <w:szCs w:val="28"/>
        </w:rPr>
        <w:t xml:space="preserve">table </w:t>
      </w:r>
      <w:r w:rsidR="00496AD2" w:rsidRPr="00B57E24">
        <w:rPr>
          <w:rFonts w:ascii="Browallia New" w:hAnsi="Browallia New" w:cs="Browallia New"/>
          <w:sz w:val="28"/>
          <w:szCs w:val="28"/>
        </w:rPr>
        <w:t>below</w:t>
      </w:r>
      <w:r w:rsidRPr="00B57E24">
        <w:rPr>
          <w:rFonts w:ascii="Browallia New" w:hAnsi="Browallia New" w:cs="Browallia New"/>
          <w:sz w:val="28"/>
          <w:szCs w:val="28"/>
        </w:rPr>
        <w:t>, an overwhelming percentage (8</w:t>
      </w:r>
      <w:r w:rsidR="00496AD2" w:rsidRPr="00B57E24">
        <w:rPr>
          <w:rFonts w:ascii="Browallia New" w:hAnsi="Browallia New" w:cs="Browallia New"/>
          <w:sz w:val="28"/>
          <w:szCs w:val="28"/>
        </w:rPr>
        <w:t>2</w:t>
      </w:r>
      <w:r w:rsidRPr="00B57E24">
        <w:rPr>
          <w:rFonts w:ascii="Browallia New" w:hAnsi="Browallia New" w:cs="Browallia New"/>
          <w:sz w:val="28"/>
          <w:szCs w:val="28"/>
        </w:rPr>
        <w:t>%) of large organizations and public companies (</w:t>
      </w:r>
      <w:r w:rsidR="00496AD2" w:rsidRPr="00B57E24">
        <w:rPr>
          <w:rFonts w:ascii="Browallia New" w:hAnsi="Browallia New" w:cs="Browallia New"/>
          <w:sz w:val="28"/>
          <w:szCs w:val="28"/>
        </w:rPr>
        <w:t>8</w:t>
      </w:r>
      <w:r w:rsidRPr="00B57E24">
        <w:rPr>
          <w:rFonts w:ascii="Browallia New" w:hAnsi="Browallia New" w:cs="Browallia New"/>
          <w:sz w:val="28"/>
          <w:szCs w:val="28"/>
        </w:rPr>
        <w:t xml:space="preserve">9%) formally report top risk exposures to the board of directors or one of its committees at least annually. </w:t>
      </w:r>
      <w:r w:rsidR="00431ADF" w:rsidRPr="00B57E24">
        <w:rPr>
          <w:rFonts w:ascii="Browallia New" w:hAnsi="Browallia New" w:cs="Browallia New"/>
          <w:sz w:val="28"/>
          <w:szCs w:val="28"/>
        </w:rPr>
        <w:t xml:space="preserve">In 2017, over </w:t>
      </w:r>
      <w:r w:rsidRPr="00B57E24">
        <w:rPr>
          <w:rFonts w:ascii="Browallia New" w:hAnsi="Browallia New" w:cs="Browallia New"/>
          <w:sz w:val="28"/>
          <w:szCs w:val="28"/>
        </w:rPr>
        <w:t>three-fourths (7</w:t>
      </w:r>
      <w:r w:rsidR="00496AD2" w:rsidRPr="00B57E24">
        <w:rPr>
          <w:rFonts w:ascii="Browallia New" w:hAnsi="Browallia New" w:cs="Browallia New"/>
          <w:sz w:val="28"/>
          <w:szCs w:val="28"/>
        </w:rPr>
        <w:t>6</w:t>
      </w:r>
      <w:r w:rsidRPr="00B57E24">
        <w:rPr>
          <w:rFonts w:ascii="Browallia New" w:hAnsi="Browallia New" w:cs="Browallia New"/>
          <w:sz w:val="28"/>
          <w:szCs w:val="28"/>
        </w:rPr>
        <w:t xml:space="preserve">%) of financial services organizations </w:t>
      </w:r>
      <w:r w:rsidR="00CD20BF" w:rsidRPr="00B57E24">
        <w:rPr>
          <w:rFonts w:ascii="Browallia New" w:hAnsi="Browallia New" w:cs="Browallia New"/>
          <w:sz w:val="28"/>
          <w:szCs w:val="28"/>
        </w:rPr>
        <w:t xml:space="preserve">also </w:t>
      </w:r>
      <w:r w:rsidRPr="00B57E24">
        <w:rPr>
          <w:rFonts w:ascii="Browallia New" w:hAnsi="Browallia New" w:cs="Browallia New"/>
          <w:sz w:val="28"/>
          <w:szCs w:val="28"/>
        </w:rPr>
        <w:t>formally report top risk exposures to the board; also 5</w:t>
      </w:r>
      <w:r w:rsidR="00496AD2" w:rsidRPr="00B57E24">
        <w:rPr>
          <w:rFonts w:ascii="Browallia New" w:hAnsi="Browallia New" w:cs="Browallia New"/>
          <w:sz w:val="28"/>
          <w:szCs w:val="28"/>
        </w:rPr>
        <w:t>7</w:t>
      </w:r>
      <w:r w:rsidRPr="00B57E24">
        <w:rPr>
          <w:rFonts w:ascii="Browallia New" w:hAnsi="Browallia New" w:cs="Browallia New"/>
          <w:sz w:val="28"/>
          <w:szCs w:val="28"/>
        </w:rPr>
        <w:t>% of not-for-profit organizations do so.</w:t>
      </w:r>
    </w:p>
    <w:tbl>
      <w:tblPr>
        <w:tblStyle w:val="LightList-Accent3"/>
        <w:tblW w:w="95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340"/>
        <w:gridCol w:w="198"/>
        <w:gridCol w:w="792"/>
        <w:gridCol w:w="1908"/>
        <w:gridCol w:w="1440"/>
        <w:gridCol w:w="1365"/>
        <w:gridCol w:w="1533"/>
      </w:tblGrid>
      <w:tr w:rsidR="006F5979" w:rsidRPr="00F46D57" w14:paraId="71F38CA4" w14:textId="77777777" w:rsidTr="00E12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gridSpan w:val="2"/>
            <w:shd w:val="clear" w:color="auto" w:fill="0070C0"/>
          </w:tcPr>
          <w:p w14:paraId="3428BE07" w14:textId="77777777" w:rsidR="006F5979" w:rsidRPr="00CD20BF" w:rsidRDefault="006F5979" w:rsidP="00CD20BF">
            <w:pPr>
              <w:tabs>
                <w:tab w:val="left" w:pos="531"/>
              </w:tabs>
              <w:jc w:val="both"/>
              <w:rPr>
                <w:rFonts w:ascii="Browallia New" w:hAnsi="Browallia New" w:cs="Browallia New"/>
                <w:sz w:val="28"/>
                <w:szCs w:val="28"/>
              </w:rPr>
            </w:pPr>
            <w:r w:rsidRPr="00CD20BF">
              <w:rPr>
                <w:rFonts w:ascii="Browallia New" w:hAnsi="Browallia New" w:cs="Browallia New"/>
                <w:sz w:val="28"/>
                <w:szCs w:val="28"/>
              </w:rPr>
              <w:br w:type="page"/>
            </w:r>
            <w:r w:rsidR="00CD20BF" w:rsidRPr="00CD20BF">
              <w:rPr>
                <w:rFonts w:ascii="Browallia New" w:hAnsi="Browallia New" w:cs="Browallia New"/>
                <w:sz w:val="28"/>
                <w:szCs w:val="28"/>
              </w:rPr>
              <w:tab/>
            </w:r>
          </w:p>
        </w:tc>
        <w:tc>
          <w:tcPr>
            <w:tcW w:w="5505" w:type="dxa"/>
            <w:gridSpan w:val="4"/>
            <w:shd w:val="clear" w:color="auto" w:fill="0070C0"/>
          </w:tcPr>
          <w:p w14:paraId="1A0EE4F7" w14:textId="77777777" w:rsidR="006F5979" w:rsidRPr="00CD20BF"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CD20BF">
              <w:rPr>
                <w:rFonts w:ascii="Browallia New" w:hAnsi="Browallia New" w:cs="Browallia New"/>
                <w:sz w:val="28"/>
                <w:szCs w:val="28"/>
              </w:rPr>
              <w:t>Percentage of Respondents</w:t>
            </w:r>
          </w:p>
        </w:tc>
        <w:tc>
          <w:tcPr>
            <w:tcW w:w="1533" w:type="dxa"/>
            <w:shd w:val="clear" w:color="auto" w:fill="0070C0"/>
          </w:tcPr>
          <w:p w14:paraId="4872AA14" w14:textId="77777777" w:rsidR="006F5979" w:rsidRPr="00CD20BF" w:rsidRDefault="006F5979" w:rsidP="00DA236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p>
        </w:tc>
      </w:tr>
      <w:tr w:rsidR="00CD20BF" w:rsidRPr="00CD20BF" w14:paraId="74DEA985" w14:textId="77777777" w:rsidTr="00CD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one" w:sz="0" w:space="0" w:color="auto"/>
              <w:left w:val="none" w:sz="0" w:space="0" w:color="auto"/>
              <w:bottom w:val="none" w:sz="0" w:space="0" w:color="auto"/>
            </w:tcBorders>
            <w:shd w:val="clear" w:color="auto" w:fill="FFFFFF" w:themeFill="background1"/>
          </w:tcPr>
          <w:p w14:paraId="27676571" w14:textId="77777777" w:rsidR="006F5979" w:rsidRPr="00CD20BF" w:rsidRDefault="006F5979" w:rsidP="00CD20BF">
            <w:pPr>
              <w:spacing w:line="204" w:lineRule="auto"/>
              <w:rPr>
                <w:rFonts w:ascii="Browallia New" w:hAnsi="Browallia New" w:cs="Browallia New"/>
                <w:color w:val="C48B01" w:themeColor="accent2" w:themeShade="BF"/>
              </w:rPr>
            </w:pPr>
          </w:p>
        </w:tc>
        <w:tc>
          <w:tcPr>
            <w:tcW w:w="990" w:type="dxa"/>
            <w:gridSpan w:val="2"/>
            <w:tcBorders>
              <w:top w:val="none" w:sz="0" w:space="0" w:color="auto"/>
              <w:bottom w:val="none" w:sz="0" w:space="0" w:color="auto"/>
            </w:tcBorders>
            <w:shd w:val="clear" w:color="auto" w:fill="FFFFFF" w:themeFill="background1"/>
          </w:tcPr>
          <w:p w14:paraId="44AB6F40" w14:textId="77777777" w:rsidR="006F5979" w:rsidRPr="003B1178" w:rsidRDefault="006F5979" w:rsidP="00CD20BF">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Full </w:t>
            </w:r>
            <w:r w:rsidRPr="003B1178">
              <w:rPr>
                <w:rFonts w:ascii="Browallia New" w:hAnsi="Browallia New" w:cs="Browallia New"/>
                <w:b/>
                <w:u w:val="single"/>
              </w:rPr>
              <w:t>Sample</w:t>
            </w:r>
          </w:p>
        </w:tc>
        <w:tc>
          <w:tcPr>
            <w:tcW w:w="1908" w:type="dxa"/>
            <w:tcBorders>
              <w:top w:val="none" w:sz="0" w:space="0" w:color="auto"/>
              <w:bottom w:val="none" w:sz="0" w:space="0" w:color="auto"/>
            </w:tcBorders>
            <w:shd w:val="clear" w:color="auto" w:fill="FFFFFF" w:themeFill="background1"/>
          </w:tcPr>
          <w:p w14:paraId="7FD7C3DC" w14:textId="77777777" w:rsidR="006F5979" w:rsidRPr="003B1178" w:rsidRDefault="006F5979" w:rsidP="00CD20BF">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Largest Organizations </w:t>
            </w:r>
            <w:r w:rsidRPr="003B1178">
              <w:rPr>
                <w:rFonts w:ascii="Browallia New" w:hAnsi="Browallia New" w:cs="Browallia New"/>
                <w:b/>
                <w:u w:val="single"/>
              </w:rPr>
              <w:t>(Revenues &gt;$1B)</w:t>
            </w:r>
          </w:p>
        </w:tc>
        <w:tc>
          <w:tcPr>
            <w:tcW w:w="1440" w:type="dxa"/>
            <w:tcBorders>
              <w:top w:val="none" w:sz="0" w:space="0" w:color="auto"/>
              <w:bottom w:val="none" w:sz="0" w:space="0" w:color="auto"/>
            </w:tcBorders>
            <w:shd w:val="clear" w:color="auto" w:fill="FFFFFF" w:themeFill="background1"/>
          </w:tcPr>
          <w:p w14:paraId="1381D86B" w14:textId="77777777" w:rsidR="006F5979" w:rsidRPr="003B1178" w:rsidRDefault="006F5979" w:rsidP="00CD20BF">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Public </w:t>
            </w:r>
            <w:r w:rsidRPr="003B1178">
              <w:rPr>
                <w:rFonts w:ascii="Browallia New" w:hAnsi="Browallia New" w:cs="Browallia New"/>
                <w:b/>
                <w:u w:val="single"/>
              </w:rPr>
              <w:t>Companies</w:t>
            </w:r>
          </w:p>
        </w:tc>
        <w:tc>
          <w:tcPr>
            <w:tcW w:w="1365" w:type="dxa"/>
            <w:tcBorders>
              <w:top w:val="none" w:sz="0" w:space="0" w:color="auto"/>
              <w:bottom w:val="none" w:sz="0" w:space="0" w:color="auto"/>
            </w:tcBorders>
            <w:shd w:val="clear" w:color="auto" w:fill="FFFFFF" w:themeFill="background1"/>
          </w:tcPr>
          <w:p w14:paraId="77584055" w14:textId="77777777" w:rsidR="006F5979" w:rsidRPr="003B1178" w:rsidRDefault="006F5979" w:rsidP="00CD20BF">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Financial </w:t>
            </w:r>
          </w:p>
          <w:p w14:paraId="0FA8F751" w14:textId="77777777" w:rsidR="006F5979" w:rsidRPr="003B1178" w:rsidRDefault="006F5979" w:rsidP="00CD20BF">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 xml:space="preserve">Services </w:t>
            </w:r>
          </w:p>
        </w:tc>
        <w:tc>
          <w:tcPr>
            <w:tcW w:w="1533" w:type="dxa"/>
            <w:tcBorders>
              <w:top w:val="none" w:sz="0" w:space="0" w:color="auto"/>
              <w:bottom w:val="none" w:sz="0" w:space="0" w:color="auto"/>
              <w:right w:val="none" w:sz="0" w:space="0" w:color="auto"/>
            </w:tcBorders>
            <w:shd w:val="clear" w:color="auto" w:fill="FFFFFF" w:themeFill="background1"/>
          </w:tcPr>
          <w:p w14:paraId="60248A68" w14:textId="77777777" w:rsidR="006F5979" w:rsidRPr="003B1178" w:rsidRDefault="006F5979" w:rsidP="00CD20BF">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Not-For-Profit </w:t>
            </w:r>
            <w:r w:rsidRPr="003B1178">
              <w:rPr>
                <w:rFonts w:ascii="Browallia New" w:hAnsi="Browallia New" w:cs="Browallia New"/>
                <w:b/>
                <w:u w:val="single"/>
              </w:rPr>
              <w:t>Organizations</w:t>
            </w:r>
          </w:p>
        </w:tc>
      </w:tr>
      <w:tr w:rsidR="00CD20BF" w:rsidRPr="00CD20BF" w14:paraId="3690EDD3" w14:textId="77777777" w:rsidTr="00CD20BF">
        <w:tc>
          <w:tcPr>
            <w:cnfStyle w:val="001000000000" w:firstRow="0" w:lastRow="0" w:firstColumn="1" w:lastColumn="0" w:oddVBand="0" w:evenVBand="0" w:oddHBand="0" w:evenHBand="0" w:firstRowFirstColumn="0" w:firstRowLastColumn="0" w:lastRowFirstColumn="0" w:lastRowLastColumn="0"/>
            <w:tcW w:w="2340" w:type="dxa"/>
            <w:shd w:val="clear" w:color="auto" w:fill="FFFFFF" w:themeFill="background1"/>
          </w:tcPr>
          <w:p w14:paraId="1D1A492E" w14:textId="77777777" w:rsidR="006F5979" w:rsidRPr="003B1178" w:rsidRDefault="006F5979" w:rsidP="00CD20BF">
            <w:pPr>
              <w:spacing w:line="204" w:lineRule="auto"/>
              <w:rPr>
                <w:rFonts w:ascii="Browallia New" w:hAnsi="Browallia New" w:cs="Browallia New"/>
              </w:rPr>
            </w:pPr>
            <w:r w:rsidRPr="003B1178">
              <w:rPr>
                <w:rFonts w:ascii="Browallia New" w:hAnsi="Browallia New" w:cs="Browallia New"/>
              </w:rPr>
              <w:t>Percentage that formally report top risk exposures to the board at least annually</w:t>
            </w:r>
          </w:p>
        </w:tc>
        <w:tc>
          <w:tcPr>
            <w:tcW w:w="990" w:type="dxa"/>
            <w:gridSpan w:val="2"/>
            <w:shd w:val="clear" w:color="auto" w:fill="FFFFFF" w:themeFill="background1"/>
          </w:tcPr>
          <w:p w14:paraId="147638EA" w14:textId="77777777" w:rsidR="006F5979" w:rsidRPr="003B1178" w:rsidRDefault="001A4E2B" w:rsidP="00CD20BF">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59%</w:t>
            </w:r>
          </w:p>
        </w:tc>
        <w:tc>
          <w:tcPr>
            <w:tcW w:w="1908" w:type="dxa"/>
            <w:shd w:val="clear" w:color="auto" w:fill="FFFFFF" w:themeFill="background1"/>
          </w:tcPr>
          <w:p w14:paraId="16721C43" w14:textId="77777777" w:rsidR="006F5979" w:rsidRPr="003B1178" w:rsidRDefault="001A4E2B" w:rsidP="00CD20BF">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82%</w:t>
            </w:r>
          </w:p>
        </w:tc>
        <w:tc>
          <w:tcPr>
            <w:tcW w:w="1440" w:type="dxa"/>
            <w:shd w:val="clear" w:color="auto" w:fill="FFFFFF" w:themeFill="background1"/>
          </w:tcPr>
          <w:p w14:paraId="32B2F31C" w14:textId="77777777" w:rsidR="006F5979" w:rsidRPr="003B1178" w:rsidRDefault="001A4E2B" w:rsidP="00CD20BF">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89%</w:t>
            </w:r>
          </w:p>
        </w:tc>
        <w:tc>
          <w:tcPr>
            <w:tcW w:w="1365" w:type="dxa"/>
            <w:shd w:val="clear" w:color="auto" w:fill="FFFFFF" w:themeFill="background1"/>
          </w:tcPr>
          <w:p w14:paraId="16253890" w14:textId="77777777" w:rsidR="006F5979" w:rsidRPr="003B1178" w:rsidRDefault="001A4E2B" w:rsidP="00CD20BF">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76%</w:t>
            </w:r>
          </w:p>
        </w:tc>
        <w:tc>
          <w:tcPr>
            <w:tcW w:w="1533" w:type="dxa"/>
            <w:shd w:val="clear" w:color="auto" w:fill="FFFFFF" w:themeFill="background1"/>
          </w:tcPr>
          <w:p w14:paraId="2CF7B96A" w14:textId="77777777" w:rsidR="006F5979" w:rsidRPr="003B1178" w:rsidRDefault="001A4E2B" w:rsidP="00CD20BF">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57%</w:t>
            </w:r>
          </w:p>
        </w:tc>
      </w:tr>
    </w:tbl>
    <w:p w14:paraId="71009B14" w14:textId="77777777" w:rsidR="006F5979" w:rsidRPr="00F46D57" w:rsidRDefault="006F5979" w:rsidP="00CD20BF">
      <w:pPr>
        <w:spacing w:line="204" w:lineRule="auto"/>
        <w:jc w:val="both"/>
        <w:rPr>
          <w:rFonts w:ascii="Browallia New" w:hAnsi="Browallia New" w:cs="Browallia New"/>
        </w:rPr>
      </w:pPr>
    </w:p>
    <w:p w14:paraId="3F4A4FE4" w14:textId="77777777" w:rsidR="009E677B" w:rsidRPr="00B57E24" w:rsidRDefault="009E677B"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Formal reporting of top risks to the board at least annually has been </w:t>
      </w:r>
      <w:r w:rsidR="00CD20BF" w:rsidRPr="00B57E24">
        <w:rPr>
          <w:rFonts w:ascii="Browallia New" w:hAnsi="Browallia New" w:cs="Browallia New"/>
          <w:sz w:val="28"/>
          <w:szCs w:val="28"/>
        </w:rPr>
        <w:t xml:space="preserve">gradually </w:t>
      </w:r>
      <w:r w:rsidRPr="00B57E24">
        <w:rPr>
          <w:rFonts w:ascii="Browallia New" w:hAnsi="Browallia New" w:cs="Browallia New"/>
          <w:sz w:val="28"/>
          <w:szCs w:val="28"/>
        </w:rPr>
        <w:t>increasing</w:t>
      </w:r>
      <w:r w:rsidR="00CD20BF" w:rsidRPr="00B57E24">
        <w:rPr>
          <w:rFonts w:ascii="Browallia New" w:hAnsi="Browallia New" w:cs="Browallia New"/>
          <w:sz w:val="28"/>
          <w:szCs w:val="28"/>
        </w:rPr>
        <w:t xml:space="preserve"> </w:t>
      </w:r>
      <w:r w:rsidRPr="00B57E24">
        <w:rPr>
          <w:rFonts w:ascii="Browallia New" w:hAnsi="Browallia New" w:cs="Browallia New"/>
          <w:sz w:val="28"/>
          <w:szCs w:val="28"/>
        </w:rPr>
        <w:t xml:space="preserve">across all organizations over the past three years. </w:t>
      </w:r>
      <w:proofErr w:type="gramStart"/>
      <w:r w:rsidRPr="00B57E24">
        <w:rPr>
          <w:rFonts w:ascii="Browallia New" w:hAnsi="Browallia New" w:cs="Browallia New"/>
          <w:sz w:val="28"/>
          <w:szCs w:val="28"/>
        </w:rPr>
        <w:t>In light of</w:t>
      </w:r>
      <w:proofErr w:type="gramEnd"/>
      <w:r w:rsidRPr="00B57E24">
        <w:rPr>
          <w:rFonts w:ascii="Browallia New" w:hAnsi="Browallia New" w:cs="Browallia New"/>
          <w:sz w:val="28"/>
          <w:szCs w:val="28"/>
        </w:rPr>
        <w:t xml:space="preserve"> this, boards and management teams may benefit from evaluating the robustness of the underlying risk management processes that</w:t>
      </w:r>
      <w:r w:rsidR="00C90CE4">
        <w:rPr>
          <w:rFonts w:ascii="Browallia New" w:hAnsi="Browallia New" w:cs="Browallia New"/>
          <w:sz w:val="28"/>
          <w:szCs w:val="28"/>
        </w:rPr>
        <w:t xml:space="preserve"> management is using</w:t>
      </w:r>
      <w:r w:rsidRPr="00B57E24">
        <w:rPr>
          <w:rFonts w:ascii="Browallia New" w:hAnsi="Browallia New" w:cs="Browallia New"/>
          <w:sz w:val="28"/>
          <w:szCs w:val="28"/>
        </w:rPr>
        <w:t xml:space="preserve"> to identify and assess risk</w:t>
      </w:r>
      <w:r w:rsidR="00C90CE4">
        <w:rPr>
          <w:rFonts w:ascii="Browallia New" w:hAnsi="Browallia New" w:cs="Browallia New"/>
          <w:sz w:val="28"/>
          <w:szCs w:val="28"/>
        </w:rPr>
        <w:t>s</w:t>
      </w:r>
      <w:r w:rsidRPr="00B57E24">
        <w:rPr>
          <w:rFonts w:ascii="Browallia New" w:hAnsi="Browallia New" w:cs="Browallia New"/>
          <w:sz w:val="28"/>
          <w:szCs w:val="28"/>
        </w:rPr>
        <w:t xml:space="preserve"> for reporting to the board.</w:t>
      </w:r>
    </w:p>
    <w:p w14:paraId="20E7C0F6" w14:textId="77777777" w:rsidR="00F4294E" w:rsidRPr="00F46D57" w:rsidRDefault="00F4294E" w:rsidP="00E24AB1">
      <w:pPr>
        <w:jc w:val="center"/>
        <w:rPr>
          <w:rFonts w:ascii="Browallia New" w:hAnsi="Browallia New" w:cs="Browallia New"/>
        </w:rPr>
      </w:pPr>
      <w:r w:rsidRPr="00F46D57">
        <w:rPr>
          <w:rFonts w:ascii="Browallia New" w:hAnsi="Browallia New" w:cs="Browallia New"/>
          <w:noProof/>
        </w:rPr>
        <w:lastRenderedPageBreak/>
        <w:drawing>
          <wp:inline distT="0" distB="0" distL="0" distR="0" wp14:anchorId="133B6121" wp14:editId="58E3F3C9">
            <wp:extent cx="5486400" cy="3200400"/>
            <wp:effectExtent l="0" t="0" r="0" b="0"/>
            <wp:docPr id="130" name="Chart 130" descr="Bar chart of organizations formally reporting top risk exposures to board at least annually from 2014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E25CC1" w14:textId="77777777" w:rsidR="00F4294E" w:rsidRPr="00F46D57" w:rsidRDefault="00F4294E" w:rsidP="006F5979">
      <w:pPr>
        <w:jc w:val="both"/>
        <w:rPr>
          <w:rFonts w:ascii="Browallia New" w:hAnsi="Browallia New" w:cs="Browallia New"/>
        </w:rPr>
      </w:pPr>
    </w:p>
    <w:p w14:paraId="080D4B95" w14:textId="77777777" w:rsidR="006F5979" w:rsidRDefault="009E677B"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W</w:t>
      </w:r>
      <w:r w:rsidR="006F5979" w:rsidRPr="00B57E24">
        <w:rPr>
          <w:rFonts w:ascii="Browallia New" w:hAnsi="Browallia New" w:cs="Browallia New"/>
          <w:sz w:val="28"/>
          <w:szCs w:val="28"/>
        </w:rPr>
        <w:t xml:space="preserve">e also asked about the number of risk exposures that are typically presented to the board or one of its committees. As illustrated in the table below, just over one third of the full sample and not-for-profit organizations report less than </w:t>
      </w:r>
      <w:r w:rsidR="00BB6E9C" w:rsidRPr="00B57E24">
        <w:rPr>
          <w:rFonts w:ascii="Browallia New" w:hAnsi="Browallia New" w:cs="Browallia New"/>
          <w:sz w:val="28"/>
          <w:szCs w:val="28"/>
        </w:rPr>
        <w:t>five</w:t>
      </w:r>
      <w:r w:rsidR="006F5979" w:rsidRPr="00B57E24">
        <w:rPr>
          <w:rFonts w:ascii="Browallia New" w:hAnsi="Browallia New" w:cs="Browallia New"/>
          <w:sz w:val="28"/>
          <w:szCs w:val="28"/>
        </w:rPr>
        <w:t xml:space="preserve"> risk exposures to the board. However, about </w:t>
      </w:r>
      <w:r w:rsidR="005B7FF0" w:rsidRPr="00B57E24">
        <w:rPr>
          <w:rFonts w:ascii="Browallia New" w:hAnsi="Browallia New" w:cs="Browallia New"/>
          <w:sz w:val="28"/>
          <w:szCs w:val="28"/>
        </w:rPr>
        <w:t>70%</w:t>
      </w:r>
      <w:r w:rsidR="006F5979" w:rsidRPr="00B57E24">
        <w:rPr>
          <w:rFonts w:ascii="Browallia New" w:hAnsi="Browallia New" w:cs="Browallia New"/>
          <w:sz w:val="28"/>
          <w:szCs w:val="28"/>
        </w:rPr>
        <w:t xml:space="preserve"> of the large organizations, public companies, and financial services organizations formally report between 5 and 19 risks to the board.</w:t>
      </w:r>
    </w:p>
    <w:p w14:paraId="7B3AA4E6" w14:textId="24D6277F" w:rsidR="00284CE3" w:rsidRPr="00751104" w:rsidRDefault="00284CE3" w:rsidP="00B57E24">
      <w:pPr>
        <w:spacing w:line="204" w:lineRule="auto"/>
        <w:jc w:val="both"/>
        <w:rPr>
          <w:rStyle w:val="IntenseReference"/>
          <w:color w:val="auto"/>
        </w:rPr>
      </w:pPr>
      <w:r w:rsidRPr="00751104">
        <w:rPr>
          <w:rStyle w:val="IntenseReference"/>
          <w:color w:val="auto"/>
        </w:rPr>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900"/>
        <w:gridCol w:w="1440"/>
        <w:gridCol w:w="1350"/>
        <w:gridCol w:w="1170"/>
        <w:gridCol w:w="1386"/>
      </w:tblGrid>
      <w:tr w:rsidR="006F5979" w:rsidRPr="00F46D57" w14:paraId="1A6421EB" w14:textId="77777777" w:rsidTr="00284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A6A6A6" w:themeFill="background1" w:themeFillShade="A6"/>
          </w:tcPr>
          <w:p w14:paraId="2B10697B" w14:textId="77777777" w:rsidR="006F5979" w:rsidRPr="003B1178" w:rsidRDefault="006F5979" w:rsidP="005B7FF0">
            <w:pPr>
              <w:spacing w:line="204" w:lineRule="auto"/>
              <w:rPr>
                <w:rFonts w:ascii="Browallia New" w:hAnsi="Browallia New" w:cs="Browallia New"/>
                <w:color w:val="auto"/>
              </w:rPr>
            </w:pPr>
            <w:r w:rsidRPr="003B1178">
              <w:rPr>
                <w:rFonts w:ascii="Browallia New" w:hAnsi="Browallia New" w:cs="Browallia New"/>
                <w:color w:val="auto"/>
              </w:rPr>
              <w:t xml:space="preserve">Percentage of organizations reporting the following number of risk exposures to the </w:t>
            </w:r>
            <w:r w:rsidRPr="003B1178">
              <w:rPr>
                <w:rFonts w:ascii="Browallia New" w:hAnsi="Browallia New" w:cs="Browallia New"/>
                <w:color w:val="auto"/>
                <w:u w:val="single"/>
              </w:rPr>
              <w:t>board of directors or one of its committees:</w:t>
            </w:r>
          </w:p>
        </w:tc>
        <w:tc>
          <w:tcPr>
            <w:tcW w:w="900" w:type="dxa"/>
            <w:shd w:val="clear" w:color="auto" w:fill="A6A6A6" w:themeFill="background1" w:themeFillShade="A6"/>
          </w:tcPr>
          <w:p w14:paraId="2FAB6A3A"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5E17050A"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342945E6"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440" w:type="dxa"/>
            <w:shd w:val="clear" w:color="auto" w:fill="A6A6A6" w:themeFill="background1" w:themeFillShade="A6"/>
          </w:tcPr>
          <w:p w14:paraId="2E6B464C"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Largest Organizations</w:t>
            </w:r>
          </w:p>
          <w:p w14:paraId="64749EDC"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(Revenues &gt;$1B)</w:t>
            </w:r>
          </w:p>
        </w:tc>
        <w:tc>
          <w:tcPr>
            <w:tcW w:w="1350" w:type="dxa"/>
            <w:shd w:val="clear" w:color="auto" w:fill="A6A6A6" w:themeFill="background1" w:themeFillShade="A6"/>
          </w:tcPr>
          <w:p w14:paraId="68FF422C"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239A938A"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170" w:type="dxa"/>
            <w:shd w:val="clear" w:color="auto" w:fill="A6A6A6" w:themeFill="background1" w:themeFillShade="A6"/>
          </w:tcPr>
          <w:p w14:paraId="7C1ACAC7"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2AE23698"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43553A43"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386" w:type="dxa"/>
            <w:shd w:val="clear" w:color="auto" w:fill="A6A6A6" w:themeFill="background1" w:themeFillShade="A6"/>
          </w:tcPr>
          <w:p w14:paraId="37A8FC66"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68E7A9A6" w14:textId="77777777" w:rsidR="006F5979" w:rsidRPr="003B1178" w:rsidRDefault="006F5979" w:rsidP="005B7FF0">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tc>
      </w:tr>
      <w:tr w:rsidR="006F5979" w:rsidRPr="00F46D57" w14:paraId="02B7E5BA" w14:textId="77777777" w:rsidTr="00284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left w:val="none" w:sz="0" w:space="0" w:color="auto"/>
              <w:bottom w:val="none" w:sz="0" w:space="0" w:color="auto"/>
            </w:tcBorders>
            <w:shd w:val="clear" w:color="auto" w:fill="FFFFFF" w:themeFill="background1"/>
          </w:tcPr>
          <w:p w14:paraId="0E75FB55" w14:textId="77777777" w:rsidR="005B7FF0" w:rsidRPr="003B1178" w:rsidRDefault="005B7FF0" w:rsidP="005B7FF0">
            <w:pPr>
              <w:spacing w:line="204" w:lineRule="auto"/>
              <w:rPr>
                <w:rFonts w:ascii="Browallia New" w:hAnsi="Browallia New" w:cs="Browallia New"/>
              </w:rPr>
            </w:pPr>
          </w:p>
          <w:p w14:paraId="5F379FE1" w14:textId="77777777" w:rsidR="006F5979" w:rsidRPr="003B1178" w:rsidRDefault="006F5979" w:rsidP="005B7FF0">
            <w:pPr>
              <w:spacing w:line="204" w:lineRule="auto"/>
              <w:rPr>
                <w:rFonts w:ascii="Browallia New" w:hAnsi="Browallia New" w:cs="Browallia New"/>
              </w:rPr>
            </w:pPr>
            <w:r w:rsidRPr="003B1178">
              <w:rPr>
                <w:rFonts w:ascii="Browallia New" w:hAnsi="Browallia New" w:cs="Browallia New"/>
              </w:rPr>
              <w:t>Less than 5 risks</w:t>
            </w:r>
          </w:p>
        </w:tc>
        <w:tc>
          <w:tcPr>
            <w:tcW w:w="900" w:type="dxa"/>
            <w:tcBorders>
              <w:top w:val="none" w:sz="0" w:space="0" w:color="auto"/>
              <w:bottom w:val="none" w:sz="0" w:space="0" w:color="auto"/>
            </w:tcBorders>
            <w:shd w:val="clear" w:color="auto" w:fill="FFFFFF" w:themeFill="background1"/>
          </w:tcPr>
          <w:p w14:paraId="73FD56D3" w14:textId="77777777" w:rsidR="005B7FF0" w:rsidRPr="003B1178" w:rsidRDefault="005B7FF0"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8F8BF8E" w14:textId="77777777" w:rsidR="006F5979" w:rsidRPr="003B1178" w:rsidRDefault="00E5590D"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c>
          <w:tcPr>
            <w:tcW w:w="1440" w:type="dxa"/>
            <w:tcBorders>
              <w:top w:val="none" w:sz="0" w:space="0" w:color="auto"/>
              <w:bottom w:val="none" w:sz="0" w:space="0" w:color="auto"/>
            </w:tcBorders>
            <w:shd w:val="clear" w:color="auto" w:fill="FFFFFF" w:themeFill="background1"/>
          </w:tcPr>
          <w:p w14:paraId="59D9A1CC" w14:textId="77777777" w:rsidR="005B7FF0" w:rsidRPr="003B1178" w:rsidRDefault="005B7FF0"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0D20E894" w14:textId="77777777" w:rsidR="006F5979" w:rsidRPr="003B1178" w:rsidRDefault="003D179A"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15%</w:t>
            </w:r>
          </w:p>
        </w:tc>
        <w:tc>
          <w:tcPr>
            <w:tcW w:w="1350" w:type="dxa"/>
            <w:tcBorders>
              <w:top w:val="none" w:sz="0" w:space="0" w:color="auto"/>
              <w:bottom w:val="none" w:sz="0" w:space="0" w:color="auto"/>
            </w:tcBorders>
            <w:shd w:val="clear" w:color="auto" w:fill="FFFFFF" w:themeFill="background1"/>
          </w:tcPr>
          <w:p w14:paraId="42872499" w14:textId="77777777" w:rsidR="005B7FF0" w:rsidRPr="003B1178" w:rsidRDefault="005B7FF0"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593C936" w14:textId="77777777" w:rsidR="006F5979" w:rsidRPr="003B1178" w:rsidRDefault="00CC1692"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12%</w:t>
            </w:r>
          </w:p>
        </w:tc>
        <w:tc>
          <w:tcPr>
            <w:tcW w:w="1170" w:type="dxa"/>
            <w:tcBorders>
              <w:top w:val="none" w:sz="0" w:space="0" w:color="auto"/>
              <w:bottom w:val="none" w:sz="0" w:space="0" w:color="auto"/>
            </w:tcBorders>
            <w:shd w:val="clear" w:color="auto" w:fill="FFFFFF" w:themeFill="background1"/>
          </w:tcPr>
          <w:p w14:paraId="219B0F56" w14:textId="77777777" w:rsidR="005B7FF0" w:rsidRPr="003B1178" w:rsidRDefault="005B7FF0"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54A80D3D" w14:textId="77777777" w:rsidR="006F5979" w:rsidRPr="003B1178" w:rsidRDefault="00CC1692"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20%</w:t>
            </w:r>
          </w:p>
        </w:tc>
        <w:tc>
          <w:tcPr>
            <w:tcW w:w="1386" w:type="dxa"/>
            <w:tcBorders>
              <w:top w:val="none" w:sz="0" w:space="0" w:color="auto"/>
              <w:bottom w:val="none" w:sz="0" w:space="0" w:color="auto"/>
              <w:right w:val="none" w:sz="0" w:space="0" w:color="auto"/>
            </w:tcBorders>
            <w:shd w:val="clear" w:color="auto" w:fill="FFFFFF" w:themeFill="background1"/>
          </w:tcPr>
          <w:p w14:paraId="4E10C370" w14:textId="77777777" w:rsidR="005B7FF0" w:rsidRPr="003B1178" w:rsidRDefault="005B7FF0"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p>
          <w:p w14:paraId="74267733" w14:textId="77777777" w:rsidR="006F5979" w:rsidRPr="003B1178" w:rsidRDefault="00BD6BB9"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38%</w:t>
            </w:r>
          </w:p>
        </w:tc>
      </w:tr>
      <w:tr w:rsidR="006F5979" w:rsidRPr="00F46D57" w14:paraId="046D4D09" w14:textId="77777777" w:rsidTr="00284CE3">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tcPr>
          <w:p w14:paraId="63F4D055" w14:textId="77777777" w:rsidR="006F5979" w:rsidRPr="003B1178" w:rsidRDefault="006F5979" w:rsidP="005B7FF0">
            <w:pPr>
              <w:spacing w:line="204" w:lineRule="auto"/>
              <w:rPr>
                <w:rFonts w:ascii="Browallia New" w:hAnsi="Browallia New" w:cs="Browallia New"/>
              </w:rPr>
            </w:pPr>
            <w:r w:rsidRPr="003B1178">
              <w:rPr>
                <w:rFonts w:ascii="Browallia New" w:hAnsi="Browallia New" w:cs="Browallia New"/>
              </w:rPr>
              <w:t>Between 5 and 9 risks</w:t>
            </w:r>
          </w:p>
        </w:tc>
        <w:tc>
          <w:tcPr>
            <w:tcW w:w="900" w:type="dxa"/>
            <w:shd w:val="clear" w:color="auto" w:fill="FFFFFF" w:themeFill="background1"/>
          </w:tcPr>
          <w:p w14:paraId="41E93CD3" w14:textId="77777777" w:rsidR="006F5979" w:rsidRPr="003B1178" w:rsidRDefault="00E5590D" w:rsidP="00C90CE4">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w:t>
            </w:r>
            <w:r w:rsidR="00C90CE4" w:rsidRPr="003B1178">
              <w:rPr>
                <w:rFonts w:ascii="Browallia New" w:hAnsi="Browallia New" w:cs="Browallia New"/>
                <w:b/>
              </w:rPr>
              <w:t>5</w:t>
            </w:r>
            <w:r w:rsidRPr="003B1178">
              <w:rPr>
                <w:rFonts w:ascii="Browallia New" w:hAnsi="Browallia New" w:cs="Browallia New"/>
                <w:b/>
              </w:rPr>
              <w:t>%</w:t>
            </w:r>
          </w:p>
        </w:tc>
        <w:tc>
          <w:tcPr>
            <w:tcW w:w="1440" w:type="dxa"/>
            <w:shd w:val="clear" w:color="auto" w:fill="FFFFFF" w:themeFill="background1"/>
          </w:tcPr>
          <w:p w14:paraId="2BCF435E" w14:textId="77777777" w:rsidR="006F5979" w:rsidRPr="003B1178" w:rsidRDefault="003D179A"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26%</w:t>
            </w:r>
          </w:p>
        </w:tc>
        <w:tc>
          <w:tcPr>
            <w:tcW w:w="1350" w:type="dxa"/>
            <w:shd w:val="clear" w:color="auto" w:fill="FFFFFF" w:themeFill="background1"/>
          </w:tcPr>
          <w:p w14:paraId="49584963" w14:textId="77777777" w:rsidR="006F5979" w:rsidRPr="003B1178" w:rsidRDefault="00CC1692"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22%</w:t>
            </w:r>
          </w:p>
        </w:tc>
        <w:tc>
          <w:tcPr>
            <w:tcW w:w="1170" w:type="dxa"/>
            <w:shd w:val="clear" w:color="auto" w:fill="FFFFFF" w:themeFill="background1"/>
          </w:tcPr>
          <w:p w14:paraId="5B042571" w14:textId="77777777" w:rsidR="006F5979" w:rsidRPr="003B1178" w:rsidRDefault="00CC1692"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37%</w:t>
            </w:r>
          </w:p>
        </w:tc>
        <w:tc>
          <w:tcPr>
            <w:tcW w:w="1386" w:type="dxa"/>
            <w:shd w:val="clear" w:color="auto" w:fill="FFFFFF" w:themeFill="background1"/>
          </w:tcPr>
          <w:p w14:paraId="491D4F05" w14:textId="77777777" w:rsidR="006F5979" w:rsidRPr="003B1178" w:rsidRDefault="00BD6BB9"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19%</w:t>
            </w:r>
          </w:p>
        </w:tc>
      </w:tr>
      <w:tr w:rsidR="006F5979" w:rsidRPr="00F46D57" w14:paraId="0EAC3DCA" w14:textId="77777777" w:rsidTr="00284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left w:val="none" w:sz="0" w:space="0" w:color="auto"/>
              <w:bottom w:val="none" w:sz="0" w:space="0" w:color="auto"/>
            </w:tcBorders>
            <w:shd w:val="clear" w:color="auto" w:fill="FFFFFF" w:themeFill="background1"/>
          </w:tcPr>
          <w:p w14:paraId="7030FA0E" w14:textId="77777777" w:rsidR="006F5979" w:rsidRPr="003B1178" w:rsidRDefault="006F5979" w:rsidP="005B7FF0">
            <w:pPr>
              <w:spacing w:line="204" w:lineRule="auto"/>
              <w:rPr>
                <w:rFonts w:ascii="Browallia New" w:hAnsi="Browallia New" w:cs="Browallia New"/>
              </w:rPr>
            </w:pPr>
            <w:r w:rsidRPr="003B1178">
              <w:rPr>
                <w:rFonts w:ascii="Browallia New" w:hAnsi="Browallia New" w:cs="Browallia New"/>
              </w:rPr>
              <w:t>Between 10 and 19 risks</w:t>
            </w:r>
          </w:p>
        </w:tc>
        <w:tc>
          <w:tcPr>
            <w:tcW w:w="900" w:type="dxa"/>
            <w:tcBorders>
              <w:top w:val="none" w:sz="0" w:space="0" w:color="auto"/>
              <w:bottom w:val="none" w:sz="0" w:space="0" w:color="auto"/>
            </w:tcBorders>
            <w:shd w:val="clear" w:color="auto" w:fill="FFFFFF" w:themeFill="background1"/>
          </w:tcPr>
          <w:p w14:paraId="21F5D63C" w14:textId="77777777" w:rsidR="006F5979" w:rsidRPr="003B1178" w:rsidRDefault="00E5590D"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31%</w:t>
            </w:r>
          </w:p>
        </w:tc>
        <w:tc>
          <w:tcPr>
            <w:tcW w:w="1440" w:type="dxa"/>
            <w:tcBorders>
              <w:top w:val="none" w:sz="0" w:space="0" w:color="auto"/>
              <w:bottom w:val="none" w:sz="0" w:space="0" w:color="auto"/>
            </w:tcBorders>
            <w:shd w:val="clear" w:color="auto" w:fill="FFFFFF" w:themeFill="background1"/>
          </w:tcPr>
          <w:p w14:paraId="6F288C0B" w14:textId="77777777" w:rsidR="006F5979" w:rsidRPr="003B1178" w:rsidRDefault="003D179A"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45%</w:t>
            </w:r>
          </w:p>
        </w:tc>
        <w:tc>
          <w:tcPr>
            <w:tcW w:w="1350" w:type="dxa"/>
            <w:tcBorders>
              <w:top w:val="none" w:sz="0" w:space="0" w:color="auto"/>
              <w:bottom w:val="none" w:sz="0" w:space="0" w:color="auto"/>
            </w:tcBorders>
            <w:shd w:val="clear" w:color="auto" w:fill="FFFFFF" w:themeFill="background1"/>
          </w:tcPr>
          <w:p w14:paraId="01917072" w14:textId="77777777" w:rsidR="006F5979" w:rsidRPr="003B1178" w:rsidRDefault="00CC1692"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54%</w:t>
            </w:r>
          </w:p>
        </w:tc>
        <w:tc>
          <w:tcPr>
            <w:tcW w:w="1170" w:type="dxa"/>
            <w:tcBorders>
              <w:top w:val="none" w:sz="0" w:space="0" w:color="auto"/>
              <w:bottom w:val="none" w:sz="0" w:space="0" w:color="auto"/>
            </w:tcBorders>
            <w:shd w:val="clear" w:color="auto" w:fill="FFFFFF" w:themeFill="background1"/>
          </w:tcPr>
          <w:p w14:paraId="43936F00" w14:textId="77777777" w:rsidR="006F5979" w:rsidRPr="003B1178" w:rsidRDefault="00CC1692"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33%</w:t>
            </w:r>
          </w:p>
        </w:tc>
        <w:tc>
          <w:tcPr>
            <w:tcW w:w="1386" w:type="dxa"/>
            <w:tcBorders>
              <w:top w:val="none" w:sz="0" w:space="0" w:color="auto"/>
              <w:bottom w:val="none" w:sz="0" w:space="0" w:color="auto"/>
              <w:right w:val="none" w:sz="0" w:space="0" w:color="auto"/>
            </w:tcBorders>
            <w:shd w:val="clear" w:color="auto" w:fill="FFFFFF" w:themeFill="background1"/>
          </w:tcPr>
          <w:p w14:paraId="0A162593" w14:textId="77777777" w:rsidR="006F5979" w:rsidRPr="003B1178" w:rsidRDefault="00BD6BB9" w:rsidP="005B7FF0">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38%</w:t>
            </w:r>
          </w:p>
        </w:tc>
      </w:tr>
      <w:tr w:rsidR="006F5979" w:rsidRPr="00F46D57" w14:paraId="2E21F28E" w14:textId="77777777" w:rsidTr="00284CE3">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tcPr>
          <w:p w14:paraId="00CB2981" w14:textId="77777777" w:rsidR="006F5979" w:rsidRPr="003B1178" w:rsidRDefault="006F5979" w:rsidP="005B7FF0">
            <w:pPr>
              <w:spacing w:line="204" w:lineRule="auto"/>
              <w:rPr>
                <w:rFonts w:ascii="Browallia New" w:hAnsi="Browallia New" w:cs="Browallia New"/>
              </w:rPr>
            </w:pPr>
            <w:r w:rsidRPr="003B1178">
              <w:rPr>
                <w:rFonts w:ascii="Browallia New" w:hAnsi="Browallia New" w:cs="Browallia New"/>
              </w:rPr>
              <w:t>More than 20 risks</w:t>
            </w:r>
          </w:p>
        </w:tc>
        <w:tc>
          <w:tcPr>
            <w:tcW w:w="900" w:type="dxa"/>
            <w:shd w:val="clear" w:color="auto" w:fill="FFFFFF" w:themeFill="background1"/>
          </w:tcPr>
          <w:p w14:paraId="0D03F968" w14:textId="77777777" w:rsidR="006F5979" w:rsidRPr="003B1178" w:rsidRDefault="00E5590D"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w:t>
            </w:r>
          </w:p>
        </w:tc>
        <w:tc>
          <w:tcPr>
            <w:tcW w:w="1440" w:type="dxa"/>
            <w:shd w:val="clear" w:color="auto" w:fill="FFFFFF" w:themeFill="background1"/>
          </w:tcPr>
          <w:p w14:paraId="6C83BF74" w14:textId="77777777" w:rsidR="006F5979" w:rsidRPr="003B1178" w:rsidRDefault="003D179A"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14%</w:t>
            </w:r>
          </w:p>
        </w:tc>
        <w:tc>
          <w:tcPr>
            <w:tcW w:w="1350" w:type="dxa"/>
            <w:shd w:val="clear" w:color="auto" w:fill="FFFFFF" w:themeFill="background1"/>
          </w:tcPr>
          <w:p w14:paraId="1554C515" w14:textId="77777777" w:rsidR="006F5979" w:rsidRPr="003B1178" w:rsidRDefault="00CC1692"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12%</w:t>
            </w:r>
          </w:p>
        </w:tc>
        <w:tc>
          <w:tcPr>
            <w:tcW w:w="1170" w:type="dxa"/>
            <w:shd w:val="clear" w:color="auto" w:fill="FFFFFF" w:themeFill="background1"/>
          </w:tcPr>
          <w:p w14:paraId="70198321" w14:textId="77777777" w:rsidR="006F5979" w:rsidRPr="003B1178" w:rsidRDefault="00CC1692"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10%</w:t>
            </w:r>
          </w:p>
        </w:tc>
        <w:tc>
          <w:tcPr>
            <w:tcW w:w="1386" w:type="dxa"/>
            <w:shd w:val="clear" w:color="auto" w:fill="FFFFFF" w:themeFill="background1"/>
          </w:tcPr>
          <w:p w14:paraId="1DC8744A" w14:textId="77777777" w:rsidR="006F5979" w:rsidRPr="003B1178" w:rsidRDefault="00BD6BB9" w:rsidP="005B7FF0">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w:t>
            </w:r>
          </w:p>
        </w:tc>
      </w:tr>
    </w:tbl>
    <w:p w14:paraId="676309D9" w14:textId="77777777" w:rsidR="006F5979" w:rsidRPr="00F46D57" w:rsidRDefault="006F5979" w:rsidP="006F5979">
      <w:pPr>
        <w:jc w:val="both"/>
        <w:rPr>
          <w:rFonts w:ascii="Browallia New" w:hAnsi="Browallia New" w:cs="Browallia New"/>
        </w:rPr>
      </w:pPr>
    </w:p>
    <w:p w14:paraId="5D7DC8FC"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Overall, there seems to be room for improvement </w:t>
      </w:r>
      <w:proofErr w:type="gramStart"/>
      <w:r w:rsidRPr="00B57E24">
        <w:rPr>
          <w:rFonts w:ascii="Browallia New" w:hAnsi="Browallia New" w:cs="Browallia New"/>
          <w:sz w:val="28"/>
          <w:szCs w:val="28"/>
        </w:rPr>
        <w:t>in the nature of risk</w:t>
      </w:r>
      <w:proofErr w:type="gramEnd"/>
      <w:r w:rsidRPr="00B57E24">
        <w:rPr>
          <w:rFonts w:ascii="Browallia New" w:hAnsi="Browallia New" w:cs="Browallia New"/>
          <w:sz w:val="28"/>
          <w:szCs w:val="28"/>
        </w:rPr>
        <w:t xml:space="preserve"> information being reported to senior executives. </w:t>
      </w:r>
      <w:r w:rsidR="003164B8">
        <w:rPr>
          <w:rFonts w:ascii="Browallia New" w:hAnsi="Browallia New" w:cs="Browallia New"/>
          <w:sz w:val="28"/>
          <w:szCs w:val="28"/>
        </w:rPr>
        <w:t>Given the lack of available data, f</w:t>
      </w:r>
      <w:r w:rsidR="00206200">
        <w:rPr>
          <w:rFonts w:ascii="Browallia New" w:hAnsi="Browallia New" w:cs="Browallia New"/>
          <w:sz w:val="28"/>
          <w:szCs w:val="28"/>
        </w:rPr>
        <w:t xml:space="preserve">inding good metrics to monitor emerging risks can be challenging, and entities appear to be struggling to find effective measures that they can use to help them monitor top risk exposures. </w:t>
      </w:r>
      <w:r w:rsidRPr="00B57E24">
        <w:rPr>
          <w:rFonts w:ascii="Browallia New" w:hAnsi="Browallia New" w:cs="Browallia New"/>
          <w:sz w:val="28"/>
          <w:szCs w:val="28"/>
        </w:rPr>
        <w:t xml:space="preserve">Almost half (41%) of our respondents admitted that they were “not at all satisfied” or were “minimally” satisfied with the nature and extent of the </w:t>
      </w:r>
      <w:r w:rsidR="003164B8">
        <w:rPr>
          <w:rFonts w:ascii="Browallia New" w:hAnsi="Browallia New" w:cs="Browallia New"/>
          <w:sz w:val="28"/>
          <w:szCs w:val="28"/>
        </w:rPr>
        <w:t xml:space="preserve">internal </w:t>
      </w:r>
      <w:r w:rsidRPr="00B57E24">
        <w:rPr>
          <w:rFonts w:ascii="Browallia New" w:hAnsi="Browallia New" w:cs="Browallia New"/>
          <w:sz w:val="28"/>
          <w:szCs w:val="28"/>
        </w:rPr>
        <w:t xml:space="preserve">reporting of key risk indicators </w:t>
      </w:r>
      <w:r w:rsidR="00206200">
        <w:rPr>
          <w:rFonts w:ascii="Browallia New" w:hAnsi="Browallia New" w:cs="Browallia New"/>
          <w:sz w:val="28"/>
          <w:szCs w:val="28"/>
        </w:rPr>
        <w:t xml:space="preserve">(known as KRIs) </w:t>
      </w:r>
      <w:r w:rsidRPr="00B57E24">
        <w:rPr>
          <w:rFonts w:ascii="Browallia New" w:hAnsi="Browallia New" w:cs="Browallia New"/>
          <w:sz w:val="28"/>
          <w:szCs w:val="28"/>
        </w:rPr>
        <w:t>to senior executives. Simil</w:t>
      </w:r>
      <w:r w:rsidR="00431ADF" w:rsidRPr="00B57E24">
        <w:rPr>
          <w:rFonts w:ascii="Browallia New" w:hAnsi="Browallia New" w:cs="Browallia New"/>
          <w:sz w:val="28"/>
          <w:szCs w:val="28"/>
        </w:rPr>
        <w:t>ar levels of dissatisfaction, 41</w:t>
      </w:r>
      <w:r w:rsidRPr="00B57E24">
        <w:rPr>
          <w:rFonts w:ascii="Browallia New" w:hAnsi="Browallia New" w:cs="Browallia New"/>
          <w:sz w:val="28"/>
          <w:szCs w:val="28"/>
        </w:rPr>
        <w:t>% an</w:t>
      </w:r>
      <w:r w:rsidR="00431ADF" w:rsidRPr="00B57E24">
        <w:rPr>
          <w:rFonts w:ascii="Browallia New" w:hAnsi="Browallia New" w:cs="Browallia New"/>
          <w:sz w:val="28"/>
          <w:szCs w:val="28"/>
        </w:rPr>
        <w:t>d 4</w:t>
      </w:r>
      <w:r w:rsidR="004F59BB" w:rsidRPr="00B57E24">
        <w:rPr>
          <w:rFonts w:ascii="Browallia New" w:hAnsi="Browallia New" w:cs="Browallia New"/>
          <w:sz w:val="28"/>
          <w:szCs w:val="28"/>
        </w:rPr>
        <w:t>1</w:t>
      </w:r>
      <w:r w:rsidR="00431ADF" w:rsidRPr="00B57E24">
        <w:rPr>
          <w:rFonts w:ascii="Browallia New" w:hAnsi="Browallia New" w:cs="Browallia New"/>
          <w:sz w:val="28"/>
          <w:szCs w:val="28"/>
        </w:rPr>
        <w:t>%, were observed in our 2016 and 2015</w:t>
      </w:r>
      <w:r w:rsidRPr="00B57E24">
        <w:rPr>
          <w:rFonts w:ascii="Browallia New" w:hAnsi="Browallia New" w:cs="Browallia New"/>
          <w:sz w:val="28"/>
          <w:szCs w:val="28"/>
        </w:rPr>
        <w:t xml:space="preserve"> reports, respectively. In contrast, only </w:t>
      </w:r>
      <w:r w:rsidR="00872C41" w:rsidRPr="00B57E24">
        <w:rPr>
          <w:rFonts w:ascii="Browallia New" w:hAnsi="Browallia New" w:cs="Browallia New"/>
          <w:sz w:val="28"/>
          <w:szCs w:val="28"/>
        </w:rPr>
        <w:t>29</w:t>
      </w:r>
      <w:r w:rsidRPr="00B57E24">
        <w:rPr>
          <w:rFonts w:ascii="Browallia New" w:hAnsi="Browallia New" w:cs="Browallia New"/>
          <w:sz w:val="28"/>
          <w:szCs w:val="28"/>
        </w:rPr>
        <w:t xml:space="preserve">% are “mostly satisfied” or “very satisfied” with the nature and extent of </w:t>
      </w:r>
      <w:r w:rsidR="003164B8">
        <w:rPr>
          <w:rFonts w:ascii="Browallia New" w:hAnsi="Browallia New" w:cs="Browallia New"/>
          <w:sz w:val="28"/>
          <w:szCs w:val="28"/>
        </w:rPr>
        <w:t xml:space="preserve">internal </w:t>
      </w:r>
      <w:r w:rsidRPr="00B57E24">
        <w:rPr>
          <w:rFonts w:ascii="Browallia New" w:hAnsi="Browallia New" w:cs="Browallia New"/>
          <w:sz w:val="28"/>
          <w:szCs w:val="28"/>
        </w:rPr>
        <w:t>reporting of key risk indicators to senior executives.</w:t>
      </w:r>
      <w:r w:rsidR="003164B8">
        <w:rPr>
          <w:rFonts w:ascii="Browallia New" w:hAnsi="Browallia New" w:cs="Browallia New"/>
          <w:sz w:val="28"/>
          <w:szCs w:val="28"/>
        </w:rPr>
        <w:t xml:space="preserve"> The growing use of data analytics may provide </w:t>
      </w:r>
      <w:r w:rsidR="00206200">
        <w:rPr>
          <w:rFonts w:ascii="Browallia New" w:hAnsi="Browallia New" w:cs="Browallia New"/>
          <w:sz w:val="28"/>
          <w:szCs w:val="28"/>
        </w:rPr>
        <w:t>opportunities</w:t>
      </w:r>
      <w:r w:rsidR="003164B8">
        <w:rPr>
          <w:rFonts w:ascii="Browallia New" w:hAnsi="Browallia New" w:cs="Browallia New"/>
          <w:sz w:val="28"/>
          <w:szCs w:val="28"/>
        </w:rPr>
        <w:t xml:space="preserve"> </w:t>
      </w:r>
      <w:r w:rsidR="003164B8">
        <w:rPr>
          <w:rFonts w:ascii="Browallia New" w:hAnsi="Browallia New" w:cs="Browallia New"/>
          <w:sz w:val="28"/>
          <w:szCs w:val="28"/>
        </w:rPr>
        <w:lastRenderedPageBreak/>
        <w:t xml:space="preserve">for management to </w:t>
      </w:r>
      <w:r w:rsidR="00206200">
        <w:rPr>
          <w:rFonts w:ascii="Browallia New" w:hAnsi="Browallia New" w:cs="Browallia New"/>
          <w:sz w:val="28"/>
          <w:szCs w:val="28"/>
        </w:rPr>
        <w:t xml:space="preserve">strengthen </w:t>
      </w:r>
      <w:r w:rsidR="003164B8">
        <w:rPr>
          <w:rFonts w:ascii="Browallia New" w:hAnsi="Browallia New" w:cs="Browallia New"/>
          <w:sz w:val="28"/>
          <w:szCs w:val="28"/>
        </w:rPr>
        <w:t>their management “</w:t>
      </w:r>
      <w:r w:rsidR="00206200">
        <w:rPr>
          <w:rFonts w:ascii="Browallia New" w:hAnsi="Browallia New" w:cs="Browallia New"/>
          <w:sz w:val="28"/>
          <w:szCs w:val="28"/>
        </w:rPr>
        <w:t>dashboards</w:t>
      </w:r>
      <w:r w:rsidR="003164B8">
        <w:rPr>
          <w:rFonts w:ascii="Browallia New" w:hAnsi="Browallia New" w:cs="Browallia New"/>
          <w:sz w:val="28"/>
          <w:szCs w:val="28"/>
        </w:rPr>
        <w:t>”</w:t>
      </w:r>
      <w:r w:rsidR="00206200">
        <w:rPr>
          <w:rFonts w:ascii="Browallia New" w:hAnsi="Browallia New" w:cs="Browallia New"/>
          <w:sz w:val="28"/>
          <w:szCs w:val="28"/>
        </w:rPr>
        <w:t xml:space="preserve"> to include more information</w:t>
      </w:r>
      <w:r w:rsidR="003164B8">
        <w:rPr>
          <w:rFonts w:ascii="Browallia New" w:hAnsi="Browallia New" w:cs="Browallia New"/>
          <w:sz w:val="28"/>
          <w:szCs w:val="28"/>
        </w:rPr>
        <w:t xml:space="preserve"> that helps track potential </w:t>
      </w:r>
      <w:r w:rsidR="00206200">
        <w:rPr>
          <w:rFonts w:ascii="Browallia New" w:hAnsi="Browallia New" w:cs="Browallia New"/>
          <w:sz w:val="28"/>
          <w:szCs w:val="28"/>
        </w:rPr>
        <w:t>risks on the horizon.</w:t>
      </w:r>
    </w:p>
    <w:p w14:paraId="3D944EC1" w14:textId="77777777" w:rsidR="006F5979" w:rsidRPr="00F46D57" w:rsidRDefault="006F5979" w:rsidP="00E24AB1">
      <w:pPr>
        <w:jc w:val="center"/>
        <w:rPr>
          <w:rFonts w:ascii="Browallia New" w:hAnsi="Browallia New" w:cs="Browallia New"/>
        </w:rPr>
      </w:pPr>
      <w:r w:rsidRPr="00872C41">
        <w:rPr>
          <w:rFonts w:ascii="Browallia New" w:hAnsi="Browallia New" w:cs="Browallia New"/>
          <w:noProof/>
          <w:color w:val="002060"/>
          <w:shd w:val="clear" w:color="auto" w:fill="C48B01" w:themeFill="accent2" w:themeFillShade="BF"/>
        </w:rPr>
        <w:drawing>
          <wp:inline distT="0" distB="0" distL="0" distR="0" wp14:anchorId="5DD49CD1" wp14:editId="7559594F">
            <wp:extent cx="5913120" cy="3535680"/>
            <wp:effectExtent l="0" t="0" r="0" b="7620"/>
            <wp:docPr id="5" name="Chart 5" descr="Bar chart of percentage of organizations with mostly or very satisfied satisfaction with reporting key risk indicato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D9E0878"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While respondents for public companies and financial services organizations signal a greater level of satisfaction about the nature and extent of reporting of key risk indicators, that level of satisfaction is </w:t>
      </w:r>
      <w:r w:rsidR="00872C41" w:rsidRPr="00B57E24">
        <w:rPr>
          <w:rFonts w:ascii="Browallia New" w:hAnsi="Browallia New" w:cs="Browallia New"/>
          <w:sz w:val="28"/>
          <w:szCs w:val="28"/>
        </w:rPr>
        <w:t xml:space="preserve">still </w:t>
      </w:r>
      <w:r w:rsidR="00D404E0">
        <w:rPr>
          <w:rFonts w:ascii="Browallia New" w:hAnsi="Browallia New" w:cs="Browallia New"/>
          <w:sz w:val="28"/>
          <w:szCs w:val="28"/>
        </w:rPr>
        <w:t>not greater</w:t>
      </w:r>
      <w:r w:rsidR="00D404E0" w:rsidRPr="00B57E24">
        <w:rPr>
          <w:rFonts w:ascii="Browallia New" w:hAnsi="Browallia New" w:cs="Browallia New"/>
          <w:sz w:val="28"/>
          <w:szCs w:val="28"/>
        </w:rPr>
        <w:t xml:space="preserve"> </w:t>
      </w:r>
      <w:r w:rsidR="00872C41" w:rsidRPr="00B57E24">
        <w:rPr>
          <w:rFonts w:ascii="Browallia New" w:hAnsi="Browallia New" w:cs="Browallia New"/>
          <w:sz w:val="28"/>
          <w:szCs w:val="28"/>
        </w:rPr>
        <w:t>than</w:t>
      </w:r>
      <w:r w:rsidRPr="00B57E24">
        <w:rPr>
          <w:rFonts w:ascii="Browallia New" w:hAnsi="Browallia New" w:cs="Browallia New"/>
          <w:sz w:val="28"/>
          <w:szCs w:val="28"/>
        </w:rPr>
        <w:t xml:space="preserve"> 40%, which suggests that majority of all types of organizations see room for improvement in their key risk indicators.  </w:t>
      </w:r>
    </w:p>
    <w:p w14:paraId="32B7D2F0" w14:textId="77777777" w:rsidR="006F5979" w:rsidRPr="00B57E24" w:rsidRDefault="006F5979"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For the subset of publicly traded companies, we asked about the extent to which the organization’s public disclosures of risks in their Form 10-K filing had increased in the past five years. We found that</w:t>
      </w:r>
      <w:r w:rsidR="00C90CE4">
        <w:rPr>
          <w:rFonts w:ascii="Browallia New" w:hAnsi="Browallia New" w:cs="Browallia New"/>
          <w:sz w:val="28"/>
          <w:szCs w:val="28"/>
        </w:rPr>
        <w:t xml:space="preserve"> </w:t>
      </w:r>
      <w:r w:rsidRPr="00B57E24">
        <w:rPr>
          <w:rFonts w:ascii="Browallia New" w:hAnsi="Browallia New" w:cs="Browallia New"/>
          <w:sz w:val="28"/>
          <w:szCs w:val="28"/>
        </w:rPr>
        <w:t xml:space="preserve">just </w:t>
      </w:r>
      <w:r w:rsidR="00917DD2" w:rsidRPr="00B57E24">
        <w:rPr>
          <w:rFonts w:ascii="Browallia New" w:hAnsi="Browallia New" w:cs="Browallia New"/>
          <w:sz w:val="28"/>
          <w:szCs w:val="28"/>
        </w:rPr>
        <w:t>20</w:t>
      </w:r>
      <w:r w:rsidRPr="00B57E24">
        <w:rPr>
          <w:rFonts w:ascii="Browallia New" w:hAnsi="Browallia New" w:cs="Browallia New"/>
          <w:sz w:val="28"/>
          <w:szCs w:val="28"/>
        </w:rPr>
        <w:t xml:space="preserve">% believed their disclosures had changed “mostly” while an additional </w:t>
      </w:r>
      <w:r w:rsidR="00917DD2" w:rsidRPr="00B57E24">
        <w:rPr>
          <w:rFonts w:ascii="Browallia New" w:hAnsi="Browallia New" w:cs="Browallia New"/>
          <w:sz w:val="28"/>
          <w:szCs w:val="28"/>
        </w:rPr>
        <w:t>11</w:t>
      </w:r>
      <w:r w:rsidRPr="00B57E24">
        <w:rPr>
          <w:rFonts w:ascii="Browallia New" w:hAnsi="Browallia New" w:cs="Browallia New"/>
          <w:sz w:val="28"/>
          <w:szCs w:val="28"/>
        </w:rPr>
        <w:t xml:space="preserve">% believed their disclosures had changed “extensively.” We find these rates of change in disclosure noteworthy given that those same organizations indicated that the extent to which the volume and complexity of risks had increased over the past five years was “mostly” for </w:t>
      </w:r>
      <w:r w:rsidR="00917DD2" w:rsidRPr="00B57E24">
        <w:rPr>
          <w:rFonts w:ascii="Browallia New" w:hAnsi="Browallia New" w:cs="Browallia New"/>
          <w:sz w:val="28"/>
          <w:szCs w:val="28"/>
        </w:rPr>
        <w:t>37</w:t>
      </w:r>
      <w:r w:rsidRPr="00B57E24">
        <w:rPr>
          <w:rFonts w:ascii="Browallia New" w:hAnsi="Browallia New" w:cs="Browallia New"/>
          <w:sz w:val="28"/>
          <w:szCs w:val="28"/>
        </w:rPr>
        <w:t>% and “extensively” for 2</w:t>
      </w:r>
      <w:r w:rsidR="00917DD2" w:rsidRPr="00B57E24">
        <w:rPr>
          <w:rFonts w:ascii="Browallia New" w:hAnsi="Browallia New" w:cs="Browallia New"/>
          <w:sz w:val="28"/>
          <w:szCs w:val="28"/>
        </w:rPr>
        <w:t>8</w:t>
      </w:r>
      <w:r w:rsidRPr="00B57E24">
        <w:rPr>
          <w:rFonts w:ascii="Browallia New" w:hAnsi="Browallia New" w:cs="Browallia New"/>
          <w:sz w:val="28"/>
          <w:szCs w:val="28"/>
        </w:rPr>
        <w:t>%. When taken together, these findings are interesting in that 6</w:t>
      </w:r>
      <w:r w:rsidR="00917DD2" w:rsidRPr="00B57E24">
        <w:rPr>
          <w:rFonts w:ascii="Browallia New" w:hAnsi="Browallia New" w:cs="Browallia New"/>
          <w:sz w:val="28"/>
          <w:szCs w:val="28"/>
        </w:rPr>
        <w:t>5</w:t>
      </w:r>
      <w:r w:rsidRPr="00B57E24">
        <w:rPr>
          <w:rFonts w:ascii="Browallia New" w:hAnsi="Browallia New" w:cs="Browallia New"/>
          <w:sz w:val="28"/>
          <w:szCs w:val="28"/>
        </w:rPr>
        <w:t xml:space="preserve">% of respondents perceive that the volume and complexity of risks </w:t>
      </w:r>
      <w:proofErr w:type="gramStart"/>
      <w:r w:rsidRPr="00B57E24">
        <w:rPr>
          <w:rFonts w:ascii="Browallia New" w:hAnsi="Browallia New" w:cs="Browallia New"/>
          <w:sz w:val="28"/>
          <w:szCs w:val="28"/>
        </w:rPr>
        <w:t>has</w:t>
      </w:r>
      <w:proofErr w:type="gramEnd"/>
      <w:r w:rsidRPr="00B57E24">
        <w:rPr>
          <w:rFonts w:ascii="Browallia New" w:hAnsi="Browallia New" w:cs="Browallia New"/>
          <w:sz w:val="28"/>
          <w:szCs w:val="28"/>
        </w:rPr>
        <w:t xml:space="preserve"> changed mostly or extensively in the past five years, but only </w:t>
      </w:r>
      <w:r w:rsidR="00917DD2" w:rsidRPr="00B57E24">
        <w:rPr>
          <w:rFonts w:ascii="Browallia New" w:hAnsi="Browallia New" w:cs="Browallia New"/>
          <w:sz w:val="28"/>
          <w:szCs w:val="28"/>
        </w:rPr>
        <w:t>31</w:t>
      </w:r>
      <w:r w:rsidRPr="00B57E24">
        <w:rPr>
          <w:rFonts w:ascii="Browallia New" w:hAnsi="Browallia New" w:cs="Browallia New"/>
          <w:sz w:val="28"/>
          <w:szCs w:val="28"/>
        </w:rPr>
        <w:t xml:space="preserve">% have seen changes </w:t>
      </w:r>
      <w:proofErr w:type="gramStart"/>
      <w:r w:rsidRPr="00B57E24">
        <w:rPr>
          <w:rFonts w:ascii="Browallia New" w:hAnsi="Browallia New" w:cs="Browallia New"/>
          <w:sz w:val="28"/>
          <w:szCs w:val="28"/>
        </w:rPr>
        <w:t>in the nature of their</w:t>
      </w:r>
      <w:proofErr w:type="gramEnd"/>
      <w:r w:rsidRPr="00B57E24">
        <w:rPr>
          <w:rFonts w:ascii="Browallia New" w:hAnsi="Browallia New" w:cs="Browallia New"/>
          <w:sz w:val="28"/>
          <w:szCs w:val="28"/>
        </w:rPr>
        <w:t xml:space="preserve"> risk disclosures to investors. That may cause some to wonder whether the </w:t>
      </w:r>
      <w:r w:rsidR="00472951" w:rsidRPr="00B57E24">
        <w:rPr>
          <w:rFonts w:ascii="Browallia New" w:hAnsi="Browallia New" w:cs="Browallia New"/>
          <w:sz w:val="28"/>
          <w:szCs w:val="28"/>
        </w:rPr>
        <w:t xml:space="preserve">required Form 10-K </w:t>
      </w:r>
      <w:r w:rsidRPr="00B57E24">
        <w:rPr>
          <w:rFonts w:ascii="Browallia New" w:hAnsi="Browallia New" w:cs="Browallia New"/>
          <w:sz w:val="28"/>
          <w:szCs w:val="28"/>
        </w:rPr>
        <w:t xml:space="preserve">Item 1.A risk factor disclosures </w:t>
      </w:r>
      <w:r w:rsidR="00472951" w:rsidRPr="00B57E24">
        <w:rPr>
          <w:rFonts w:ascii="Browallia New" w:hAnsi="Browallia New" w:cs="Browallia New"/>
          <w:sz w:val="28"/>
          <w:szCs w:val="28"/>
        </w:rPr>
        <w:t xml:space="preserve">that describe key risks affecting the company </w:t>
      </w:r>
      <w:r w:rsidRPr="00B57E24">
        <w:rPr>
          <w:rFonts w:ascii="Browallia New" w:hAnsi="Browallia New" w:cs="Browallia New"/>
          <w:sz w:val="28"/>
          <w:szCs w:val="28"/>
        </w:rPr>
        <w:t>provide a realistic view of the risk profiles of the organizations.</w:t>
      </w:r>
    </w:p>
    <w:p w14:paraId="51241807" w14:textId="77777777" w:rsidR="002F2BDF" w:rsidRPr="00F46D57" w:rsidRDefault="002F2BDF">
      <w:pPr>
        <w:rPr>
          <w:rFonts w:ascii="Browallia New" w:hAnsi="Browallia New" w:cs="Browallia New"/>
          <w:b/>
          <w:i/>
          <w:iCs/>
          <w:color w:val="3891A7" w:themeColor="accent1"/>
        </w:rPr>
      </w:pPr>
      <w:r w:rsidRPr="00F46D57">
        <w:rPr>
          <w:rFonts w:ascii="Browallia New" w:hAnsi="Browallia New" w:cs="Browallia New"/>
          <w:b/>
          <w:i/>
          <w:iCs/>
          <w:color w:val="3891A7" w:themeColor="accent1"/>
        </w:rPr>
        <w:br w:type="page"/>
      </w:r>
    </w:p>
    <w:p w14:paraId="70BAB263" w14:textId="77777777" w:rsidR="00472D26" w:rsidRPr="00C83E5D" w:rsidRDefault="00556EBB" w:rsidP="00E12ABA">
      <w:pPr>
        <w:shd w:val="clear" w:color="auto" w:fill="0070C0"/>
        <w:rPr>
          <w:rFonts w:ascii="Browallia New" w:hAnsi="Browallia New" w:cs="Browallia New"/>
          <w:b/>
          <w:color w:val="FFFFFF" w:themeColor="background1"/>
          <w:sz w:val="36"/>
          <w:szCs w:val="36"/>
        </w:rPr>
      </w:pPr>
      <w:r>
        <w:rPr>
          <w:rFonts w:ascii="Browallia New" w:hAnsi="Browallia New" w:cs="Browallia New"/>
          <w:b/>
          <w:color w:val="FFFFFF" w:themeColor="background1"/>
          <w:sz w:val="36"/>
          <w:szCs w:val="36"/>
        </w:rPr>
        <w:lastRenderedPageBreak/>
        <w:t>PROVIDING INCENTIVES FOR RISK OWNERSHIP</w:t>
      </w:r>
    </w:p>
    <w:p w14:paraId="455A64BE" w14:textId="77777777" w:rsidR="008A2E6D" w:rsidRPr="00B050C7" w:rsidRDefault="00B050C7" w:rsidP="00B050C7">
      <w:pPr>
        <w:pStyle w:val="ListParagraph"/>
        <w:numPr>
          <w:ilvl w:val="0"/>
          <w:numId w:val="43"/>
        </w:numPr>
        <w:spacing w:line="204" w:lineRule="auto"/>
        <w:ind w:right="432"/>
        <w:jc w:val="both"/>
        <w:rPr>
          <w:rFonts w:ascii="Browallia New" w:hAnsi="Browallia New" w:cs="Browallia New"/>
          <w:b/>
          <w:i/>
          <w:color w:val="0070C0"/>
          <w:sz w:val="28"/>
          <w:szCs w:val="28"/>
        </w:rPr>
      </w:pPr>
      <w:r>
        <w:rPr>
          <w:rFonts w:ascii="Browallia New" w:hAnsi="Browallia New" w:cs="Browallia New"/>
          <w:b/>
          <w:i/>
          <w:color w:val="0070C0"/>
          <w:sz w:val="28"/>
          <w:szCs w:val="28"/>
        </w:rPr>
        <w:t xml:space="preserve">Few </w:t>
      </w:r>
      <w:r w:rsidR="008A2E6D" w:rsidRPr="00B050C7">
        <w:rPr>
          <w:rFonts w:ascii="Browallia New" w:hAnsi="Browallia New" w:cs="Browallia New"/>
          <w:b/>
          <w:i/>
          <w:color w:val="0070C0"/>
          <w:sz w:val="28"/>
          <w:szCs w:val="28"/>
        </w:rPr>
        <w:t xml:space="preserve">organizations are explicitly incorporating risk management </w:t>
      </w:r>
      <w:r w:rsidR="00CB11D9" w:rsidRPr="00B050C7">
        <w:rPr>
          <w:rFonts w:ascii="Browallia New" w:hAnsi="Browallia New" w:cs="Browallia New"/>
          <w:b/>
          <w:i/>
          <w:color w:val="0070C0"/>
          <w:sz w:val="28"/>
          <w:szCs w:val="28"/>
        </w:rPr>
        <w:t xml:space="preserve">activities </w:t>
      </w:r>
      <w:r w:rsidR="008A2E6D" w:rsidRPr="00B050C7">
        <w:rPr>
          <w:rFonts w:ascii="Browallia New" w:hAnsi="Browallia New" w:cs="Browallia New"/>
          <w:b/>
          <w:i/>
          <w:color w:val="0070C0"/>
          <w:sz w:val="28"/>
          <w:szCs w:val="28"/>
        </w:rPr>
        <w:t>into compensation</w:t>
      </w:r>
      <w:r w:rsidR="0061467A">
        <w:rPr>
          <w:rFonts w:ascii="Browallia New" w:hAnsi="Browallia New" w:cs="Browallia New"/>
          <w:b/>
          <w:i/>
          <w:color w:val="0070C0"/>
          <w:sz w:val="28"/>
          <w:szCs w:val="28"/>
        </w:rPr>
        <w:t xml:space="preserve"> plans</w:t>
      </w:r>
      <w:r w:rsidR="0005639E" w:rsidRPr="00B050C7">
        <w:rPr>
          <w:rFonts w:ascii="Browallia New" w:hAnsi="Browallia New" w:cs="Browallia New"/>
          <w:b/>
          <w:i/>
          <w:color w:val="0070C0"/>
          <w:sz w:val="28"/>
          <w:szCs w:val="28"/>
        </w:rPr>
        <w:t>.</w:t>
      </w:r>
      <w:r w:rsidR="008A2E6D" w:rsidRPr="00B050C7">
        <w:rPr>
          <w:rFonts w:ascii="Browallia New" w:hAnsi="Browallia New" w:cs="Browallia New"/>
          <w:b/>
          <w:i/>
          <w:color w:val="0070C0"/>
          <w:sz w:val="28"/>
          <w:szCs w:val="28"/>
        </w:rPr>
        <w:t xml:space="preserve"> </w:t>
      </w:r>
    </w:p>
    <w:p w14:paraId="37D7B2B4" w14:textId="77777777" w:rsidR="00472D26" w:rsidRPr="00B57E24" w:rsidRDefault="00472D26"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The linkage between executive compensation and risk oversight is also receiving more attention. In fact, </w:t>
      </w:r>
      <w:proofErr w:type="gramStart"/>
      <w:r w:rsidRPr="00B57E24">
        <w:rPr>
          <w:rFonts w:ascii="Browallia New" w:hAnsi="Browallia New" w:cs="Browallia New"/>
          <w:sz w:val="28"/>
          <w:szCs w:val="28"/>
        </w:rPr>
        <w:t>the SEC’s</w:t>
      </w:r>
      <w:proofErr w:type="gramEnd"/>
      <w:r w:rsidRPr="00B57E24">
        <w:rPr>
          <w:rFonts w:ascii="Browallia New" w:hAnsi="Browallia New" w:cs="Browallia New"/>
          <w:sz w:val="28"/>
          <w:szCs w:val="28"/>
        </w:rPr>
        <w:t xml:space="preserve"> proxy disclosure rules require public companies to provide information about the relation between compensation policies</w:t>
      </w:r>
      <w:r w:rsidR="00BB6E9C" w:rsidRPr="00B57E24">
        <w:rPr>
          <w:rFonts w:ascii="Browallia New" w:hAnsi="Browallia New" w:cs="Browallia New"/>
          <w:sz w:val="28"/>
          <w:szCs w:val="28"/>
        </w:rPr>
        <w:t>,</w:t>
      </w:r>
      <w:r w:rsidRPr="00B57E24">
        <w:rPr>
          <w:rFonts w:ascii="Browallia New" w:hAnsi="Browallia New" w:cs="Browallia New"/>
          <w:sz w:val="28"/>
          <w:szCs w:val="28"/>
        </w:rPr>
        <w:t xml:space="preserve"> risk management</w:t>
      </w:r>
      <w:r w:rsidR="00BB6E9C" w:rsidRPr="00B57E24">
        <w:rPr>
          <w:rFonts w:ascii="Browallia New" w:hAnsi="Browallia New" w:cs="Browallia New"/>
          <w:sz w:val="28"/>
          <w:szCs w:val="28"/>
        </w:rPr>
        <w:t>,</w:t>
      </w:r>
      <w:r w:rsidRPr="00B57E24">
        <w:rPr>
          <w:rFonts w:ascii="Browallia New" w:hAnsi="Browallia New" w:cs="Browallia New"/>
          <w:sz w:val="28"/>
          <w:szCs w:val="28"/>
        </w:rPr>
        <w:t xml:space="preserve"> and risk-taking incentives that can affect the company’s risks, if those compensation policies and practices create risks that are reasonably likely to have a material adverse effect on the company. Shareholder activism and negative media attention are also creating more pressure for boards of directors to consider how existing compensation arrangements might contribute to excessive risk-taking on the part of management.  </w:t>
      </w:r>
    </w:p>
    <w:p w14:paraId="68EF6985" w14:textId="77777777" w:rsidR="00472D26" w:rsidRPr="00B57E24" w:rsidRDefault="00536042" w:rsidP="00B57E24">
      <w:pPr>
        <w:spacing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31968" behindDoc="0" locked="0" layoutInCell="0" allowOverlap="1" wp14:anchorId="147DB4A8" wp14:editId="35884914">
                <wp:simplePos x="0" y="0"/>
                <wp:positionH relativeFrom="margin">
                  <wp:posOffset>3866457</wp:posOffset>
                </wp:positionH>
                <wp:positionV relativeFrom="margin">
                  <wp:posOffset>2682875</wp:posOffset>
                </wp:positionV>
                <wp:extent cx="2063115" cy="914400"/>
                <wp:effectExtent l="19050" t="19050" r="13335" b="19050"/>
                <wp:wrapSquare wrapText="bothSides"/>
                <wp:docPr id="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91440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3ACAA41A" w14:textId="77777777" w:rsidR="00206200" w:rsidRPr="003B1178" w:rsidRDefault="00206200" w:rsidP="00C83E5D">
                            <w:pPr>
                              <w:spacing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Most organizations do not include risk management activities as an explicit component in determining management compensation.</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7DB4A8" id="AutoShape 115" o:spid="_x0000_s1036" style="position:absolute;left:0;text-align:left;margin-left:304.45pt;margin-top:211.25pt;width:162.45pt;height:1in;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" o:allowincell="f" fillcolor="#c48b01 [2405]" strokecolor="#1a6da6" strokeweight="3pt">
                <v:textbox inset="3.6pt,,3.6pt">
                  <w:txbxContent>
                    <w:p w14:paraId="3ACAA41A" w14:textId="77777777" w:rsidR="00206200" w:rsidRPr="003B1178" w:rsidRDefault="00206200" w:rsidP="00C83E5D">
                      <w:pPr>
                        <w:spacing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Most organizations do not include risk management activities as an explicit component in determining management compensation.</w:t>
                      </w:r>
                    </w:p>
                  </w:txbxContent>
                </v:textbox>
                <w10:wrap type="square" anchorx="margin" anchory="margin"/>
              </v:roundrect>
            </w:pict>
          </mc:Fallback>
        </mc:AlternateContent>
      </w:r>
      <w:r w:rsidR="00472D26" w:rsidRPr="00B57E24">
        <w:rPr>
          <w:rFonts w:ascii="Browallia New" w:hAnsi="Browallia New" w:cs="Browallia New"/>
          <w:sz w:val="28"/>
          <w:szCs w:val="28"/>
        </w:rPr>
        <w:t>Emerging best practices are identifying ways in which boards can more explicitly embed risk oversight into management compensation structures. Ultimately, the goal is to link risk management capabilities to individual performance assessments so that the relationship between risk and return is more explicit. For enterprise-wide risk oversight to be sustainable for the long term, members of the management team must be incent</w:t>
      </w:r>
      <w:r w:rsidR="00BB6E9C" w:rsidRPr="00B57E24">
        <w:rPr>
          <w:rFonts w:ascii="Browallia New" w:hAnsi="Browallia New" w:cs="Browallia New"/>
          <w:sz w:val="28"/>
          <w:szCs w:val="28"/>
        </w:rPr>
        <w:t>ivized</w:t>
      </w:r>
      <w:r w:rsidR="00472D26" w:rsidRPr="00B57E24">
        <w:rPr>
          <w:rFonts w:ascii="Browallia New" w:hAnsi="Browallia New" w:cs="Browallia New"/>
          <w:sz w:val="28"/>
          <w:szCs w:val="28"/>
        </w:rPr>
        <w:t xml:space="preserve"> to embrace this holistic approach to risk oversight. These incentives should be designed to encourage proactive management of risks under their areas of responsibility as well as to enhance timely and transparent sharing of risk knowledge.  </w:t>
      </w:r>
    </w:p>
    <w:p w14:paraId="43B0141E" w14:textId="77777777" w:rsidR="00472D26" w:rsidRDefault="00472D26" w:rsidP="00B57E24">
      <w:pPr>
        <w:spacing w:line="204" w:lineRule="auto"/>
        <w:jc w:val="both"/>
        <w:rPr>
          <w:rFonts w:ascii="Browallia New" w:hAnsi="Browallia New" w:cs="Browallia New"/>
          <w:sz w:val="28"/>
          <w:szCs w:val="28"/>
        </w:rPr>
      </w:pPr>
      <w:r w:rsidRPr="00B57E24">
        <w:rPr>
          <w:rFonts w:ascii="Browallia New" w:hAnsi="Browallia New" w:cs="Browallia New"/>
          <w:sz w:val="28"/>
          <w:szCs w:val="28"/>
        </w:rPr>
        <w:t xml:space="preserve">We asked respondents about the extent to which risk management activities are an explicit component of determining management performance compensation. We found that in </w:t>
      </w:r>
      <w:r w:rsidR="00E04BF4" w:rsidRPr="00B57E24">
        <w:rPr>
          <w:rFonts w:ascii="Browallia New" w:hAnsi="Browallia New" w:cs="Browallia New"/>
          <w:sz w:val="28"/>
          <w:szCs w:val="28"/>
        </w:rPr>
        <w:t>3</w:t>
      </w:r>
      <w:r w:rsidR="006851D5" w:rsidRPr="00B57E24">
        <w:rPr>
          <w:rFonts w:ascii="Browallia New" w:hAnsi="Browallia New" w:cs="Browallia New"/>
          <w:sz w:val="28"/>
          <w:szCs w:val="28"/>
        </w:rPr>
        <w:t>6</w:t>
      </w:r>
      <w:r w:rsidR="00CB4057" w:rsidRPr="00B57E24">
        <w:rPr>
          <w:rFonts w:ascii="Browallia New" w:hAnsi="Browallia New" w:cs="Browallia New"/>
          <w:sz w:val="28"/>
          <w:szCs w:val="28"/>
        </w:rPr>
        <w:t>%</w:t>
      </w:r>
      <w:r w:rsidRPr="00B57E24">
        <w:rPr>
          <w:rFonts w:ascii="Browallia New" w:hAnsi="Browallia New" w:cs="Browallia New"/>
          <w:sz w:val="28"/>
          <w:szCs w:val="28"/>
        </w:rPr>
        <w:t xml:space="preserve"> of the organizations surveyed, risk management is “not at all” a component of the performance compensation and for another </w:t>
      </w:r>
      <w:r w:rsidR="006851D5" w:rsidRPr="00B57E24">
        <w:rPr>
          <w:rFonts w:ascii="Browallia New" w:hAnsi="Browallia New" w:cs="Browallia New"/>
          <w:sz w:val="28"/>
          <w:szCs w:val="28"/>
        </w:rPr>
        <w:t>30</w:t>
      </w:r>
      <w:r w:rsidR="00CB4057" w:rsidRPr="00B57E24">
        <w:rPr>
          <w:rFonts w:ascii="Browallia New" w:hAnsi="Browallia New" w:cs="Browallia New"/>
          <w:sz w:val="28"/>
          <w:szCs w:val="28"/>
        </w:rPr>
        <w:t>%</w:t>
      </w:r>
      <w:r w:rsidRPr="00B57E24">
        <w:rPr>
          <w:rFonts w:ascii="Browallia New" w:hAnsi="Browallia New" w:cs="Browallia New"/>
          <w:sz w:val="28"/>
          <w:szCs w:val="28"/>
        </w:rPr>
        <w:t xml:space="preserve"> the component is only “minimally” considered. Thus, in </w:t>
      </w:r>
      <w:r w:rsidR="000F05F0" w:rsidRPr="00B57E24">
        <w:rPr>
          <w:rFonts w:ascii="Browallia New" w:hAnsi="Browallia New" w:cs="Browallia New"/>
          <w:sz w:val="28"/>
          <w:szCs w:val="28"/>
        </w:rPr>
        <w:t>two-thirds</w:t>
      </w:r>
      <w:r w:rsidRPr="00B57E24">
        <w:rPr>
          <w:rFonts w:ascii="Browallia New" w:hAnsi="Browallia New" w:cs="Browallia New"/>
          <w:sz w:val="28"/>
          <w:szCs w:val="28"/>
        </w:rPr>
        <w:t xml:space="preserve"> of the organizations surveyed</w:t>
      </w:r>
      <w:r w:rsidR="00E3776C" w:rsidRPr="00B57E24">
        <w:rPr>
          <w:rFonts w:ascii="Browallia New" w:hAnsi="Browallia New" w:cs="Browallia New"/>
          <w:sz w:val="28"/>
          <w:szCs w:val="28"/>
        </w:rPr>
        <w:t xml:space="preserve"> (</w:t>
      </w:r>
      <w:r w:rsidR="00B74CAA" w:rsidRPr="00B57E24">
        <w:rPr>
          <w:rFonts w:ascii="Browallia New" w:hAnsi="Browallia New" w:cs="Browallia New"/>
          <w:sz w:val="28"/>
          <w:szCs w:val="28"/>
        </w:rPr>
        <w:t>6</w:t>
      </w:r>
      <w:r w:rsidR="006851D5" w:rsidRPr="00B57E24">
        <w:rPr>
          <w:rFonts w:ascii="Browallia New" w:hAnsi="Browallia New" w:cs="Browallia New"/>
          <w:sz w:val="28"/>
          <w:szCs w:val="28"/>
        </w:rPr>
        <w:t>6</w:t>
      </w:r>
      <w:r w:rsidR="00E3776C" w:rsidRPr="00B57E24">
        <w:rPr>
          <w:rFonts w:ascii="Browallia New" w:hAnsi="Browallia New" w:cs="Browallia New"/>
          <w:sz w:val="28"/>
          <w:szCs w:val="28"/>
        </w:rPr>
        <w:t>%)</w:t>
      </w:r>
      <w:r w:rsidRPr="00B57E24">
        <w:rPr>
          <w:rFonts w:ascii="Browallia New" w:hAnsi="Browallia New" w:cs="Browallia New"/>
          <w:sz w:val="28"/>
          <w:szCs w:val="28"/>
        </w:rPr>
        <w:t>, the extent that risk management activities are an explicit component in determining management compensation is non-existent or minimal.</w:t>
      </w:r>
      <w:r w:rsidR="005403E3" w:rsidRPr="00B57E24">
        <w:rPr>
          <w:rFonts w:ascii="Browallia New" w:hAnsi="Browallia New" w:cs="Browallia New"/>
          <w:sz w:val="28"/>
          <w:szCs w:val="28"/>
        </w:rPr>
        <w:t xml:space="preserve"> These findings are </w:t>
      </w:r>
      <w:proofErr w:type="gramStart"/>
      <w:r w:rsidR="005403E3" w:rsidRPr="00B57E24">
        <w:rPr>
          <w:rFonts w:ascii="Browallia New" w:hAnsi="Browallia New" w:cs="Browallia New"/>
          <w:sz w:val="28"/>
          <w:szCs w:val="28"/>
        </w:rPr>
        <w:t>similar to</w:t>
      </w:r>
      <w:proofErr w:type="gramEnd"/>
      <w:r w:rsidR="005403E3" w:rsidRPr="00B57E24">
        <w:rPr>
          <w:rFonts w:ascii="Browallia New" w:hAnsi="Browallia New" w:cs="Browallia New"/>
          <w:sz w:val="28"/>
          <w:szCs w:val="28"/>
        </w:rPr>
        <w:t xml:space="preserve"> what we observed last year.</w:t>
      </w:r>
      <w:r w:rsidRPr="00B57E24">
        <w:rPr>
          <w:rFonts w:ascii="Browallia New" w:hAnsi="Browallia New" w:cs="Browallia New"/>
          <w:sz w:val="28"/>
          <w:szCs w:val="28"/>
        </w:rPr>
        <w:t xml:space="preserve"> </w:t>
      </w:r>
    </w:p>
    <w:p w14:paraId="2164C625" w14:textId="30014548" w:rsidR="00F6494D" w:rsidRPr="00181B6D" w:rsidRDefault="00F6494D" w:rsidP="00B57E24">
      <w:pPr>
        <w:spacing w:line="204" w:lineRule="auto"/>
        <w:jc w:val="both"/>
        <w:rPr>
          <w:rStyle w:val="IntenseReference"/>
          <w:color w:val="auto"/>
        </w:rPr>
      </w:pPr>
      <w:r w:rsidRPr="00181B6D">
        <w:rPr>
          <w:rStyle w:val="IntenseReference"/>
          <w:color w:val="auto"/>
        </w:rPr>
        <w:t>Percentage of Respondents</w:t>
      </w:r>
    </w:p>
    <w:tbl>
      <w:tblPr>
        <w:tblStyle w:val="LightList-Accent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810"/>
        <w:gridCol w:w="1530"/>
        <w:gridCol w:w="1170"/>
        <w:gridCol w:w="1113"/>
        <w:gridCol w:w="1533"/>
      </w:tblGrid>
      <w:tr w:rsidR="00472D26" w:rsidRPr="00F46D57" w14:paraId="5CE42717"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A6A6A6" w:themeFill="background1" w:themeFillShade="A6"/>
          </w:tcPr>
          <w:p w14:paraId="224BCA63" w14:textId="77777777" w:rsidR="00472D26" w:rsidRPr="003B1178" w:rsidRDefault="00472D26" w:rsidP="00C83E5D">
            <w:pPr>
              <w:spacing w:line="204" w:lineRule="auto"/>
              <w:rPr>
                <w:rFonts w:ascii="Browallia New" w:hAnsi="Browallia New" w:cs="Browallia New"/>
                <w:color w:val="auto"/>
              </w:rPr>
            </w:pPr>
            <w:r w:rsidRPr="003B1178">
              <w:rPr>
                <w:rFonts w:ascii="Browallia New" w:hAnsi="Browallia New" w:cs="Browallia New"/>
                <w:color w:val="auto"/>
              </w:rPr>
              <w:t xml:space="preserve">To what extent are risk management activities an explicit component in determining </w:t>
            </w:r>
            <w:r w:rsidRPr="003B1178">
              <w:rPr>
                <w:rFonts w:ascii="Browallia New" w:hAnsi="Browallia New" w:cs="Browallia New"/>
                <w:color w:val="auto"/>
                <w:u w:val="single"/>
              </w:rPr>
              <w:t>management performance compensation?</w:t>
            </w:r>
          </w:p>
        </w:tc>
        <w:tc>
          <w:tcPr>
            <w:tcW w:w="810" w:type="dxa"/>
            <w:shd w:val="clear" w:color="auto" w:fill="A6A6A6" w:themeFill="background1" w:themeFillShade="A6"/>
          </w:tcPr>
          <w:p w14:paraId="50A00178"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256539B4"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Full </w:t>
            </w:r>
          </w:p>
          <w:p w14:paraId="37637174"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Sample</w:t>
            </w:r>
          </w:p>
        </w:tc>
        <w:tc>
          <w:tcPr>
            <w:tcW w:w="1530" w:type="dxa"/>
            <w:shd w:val="clear" w:color="auto" w:fill="A6A6A6" w:themeFill="background1" w:themeFillShade="A6"/>
          </w:tcPr>
          <w:p w14:paraId="7D04386B"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Largest Organizations </w:t>
            </w:r>
            <w:r w:rsidRPr="003B1178">
              <w:rPr>
                <w:rFonts w:ascii="Browallia New" w:hAnsi="Browallia New" w:cs="Browallia New"/>
                <w:color w:val="auto"/>
                <w:u w:val="single"/>
              </w:rPr>
              <w:t>(Revenues &gt;$1B)</w:t>
            </w:r>
          </w:p>
        </w:tc>
        <w:tc>
          <w:tcPr>
            <w:tcW w:w="1170" w:type="dxa"/>
            <w:shd w:val="clear" w:color="auto" w:fill="A6A6A6" w:themeFill="background1" w:themeFillShade="A6"/>
          </w:tcPr>
          <w:p w14:paraId="25F55370"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F8EBF30"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Public </w:t>
            </w:r>
            <w:r w:rsidRPr="003B1178">
              <w:rPr>
                <w:rFonts w:ascii="Browallia New" w:hAnsi="Browallia New" w:cs="Browallia New"/>
                <w:color w:val="auto"/>
                <w:u w:val="single"/>
              </w:rPr>
              <w:t>Companies</w:t>
            </w:r>
          </w:p>
        </w:tc>
        <w:tc>
          <w:tcPr>
            <w:tcW w:w="1113" w:type="dxa"/>
            <w:shd w:val="clear" w:color="auto" w:fill="A6A6A6" w:themeFill="background1" w:themeFillShade="A6"/>
          </w:tcPr>
          <w:p w14:paraId="32496390"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447D5DF5"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r w:rsidRPr="003B1178">
              <w:rPr>
                <w:rFonts w:ascii="Browallia New" w:hAnsi="Browallia New" w:cs="Browallia New"/>
                <w:color w:val="auto"/>
              </w:rPr>
              <w:t xml:space="preserve">Financial </w:t>
            </w:r>
          </w:p>
          <w:p w14:paraId="188A6742"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 xml:space="preserve">Services </w:t>
            </w:r>
          </w:p>
        </w:tc>
        <w:tc>
          <w:tcPr>
            <w:tcW w:w="1533" w:type="dxa"/>
            <w:shd w:val="clear" w:color="auto" w:fill="A6A6A6" w:themeFill="background1" w:themeFillShade="A6"/>
          </w:tcPr>
          <w:p w14:paraId="10A80DFF"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p w14:paraId="1A2D99E6" w14:textId="77777777" w:rsidR="00472D26" w:rsidRPr="003B1178" w:rsidRDefault="00472D26"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rPr>
              <w:t xml:space="preserve">Not-for-Profit </w:t>
            </w:r>
            <w:r w:rsidRPr="003B1178">
              <w:rPr>
                <w:rFonts w:ascii="Browallia New" w:hAnsi="Browallia New" w:cs="Browallia New"/>
                <w:color w:val="auto"/>
                <w:u w:val="single"/>
              </w:rPr>
              <w:t>Organizations</w:t>
            </w:r>
          </w:p>
          <w:p w14:paraId="6275D11D" w14:textId="77777777" w:rsidR="006A1779" w:rsidRPr="003B1178" w:rsidRDefault="006A1779" w:rsidP="00C83E5D">
            <w:pPr>
              <w:spacing w:line="204" w:lineRule="auto"/>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rPr>
            </w:pPr>
          </w:p>
        </w:tc>
      </w:tr>
      <w:tr w:rsidR="00472D26" w:rsidRPr="00F46D57" w14:paraId="21A3F35D"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left w:val="none" w:sz="0" w:space="0" w:color="auto"/>
              <w:bottom w:val="none" w:sz="0" w:space="0" w:color="auto"/>
            </w:tcBorders>
            <w:shd w:val="clear" w:color="auto" w:fill="FFFFFF" w:themeFill="background1"/>
          </w:tcPr>
          <w:p w14:paraId="37BC8A3A" w14:textId="77777777" w:rsidR="00472D26" w:rsidRPr="003B1178" w:rsidRDefault="00C83E5D" w:rsidP="00C83E5D">
            <w:pPr>
              <w:spacing w:line="204" w:lineRule="auto"/>
              <w:rPr>
                <w:rFonts w:ascii="Browallia New" w:hAnsi="Browallia New" w:cs="Browallia New"/>
              </w:rPr>
            </w:pPr>
            <w:r w:rsidRPr="003B1178">
              <w:rPr>
                <w:rFonts w:ascii="Browallia New" w:hAnsi="Browallia New" w:cs="Browallia New"/>
              </w:rPr>
              <w:t>N</w:t>
            </w:r>
            <w:r w:rsidR="00472D26" w:rsidRPr="003B1178">
              <w:rPr>
                <w:rFonts w:ascii="Browallia New" w:hAnsi="Browallia New" w:cs="Browallia New"/>
              </w:rPr>
              <w:t>ot at All</w:t>
            </w:r>
          </w:p>
        </w:tc>
        <w:tc>
          <w:tcPr>
            <w:tcW w:w="810" w:type="dxa"/>
            <w:tcBorders>
              <w:top w:val="none" w:sz="0" w:space="0" w:color="auto"/>
              <w:bottom w:val="none" w:sz="0" w:space="0" w:color="auto"/>
            </w:tcBorders>
            <w:shd w:val="clear" w:color="auto" w:fill="FFFFFF" w:themeFill="background1"/>
          </w:tcPr>
          <w:p w14:paraId="570FA9FC" w14:textId="77777777" w:rsidR="00472D26" w:rsidRPr="003B1178" w:rsidRDefault="0021672C"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36%</w:t>
            </w:r>
          </w:p>
        </w:tc>
        <w:tc>
          <w:tcPr>
            <w:tcW w:w="1530" w:type="dxa"/>
            <w:tcBorders>
              <w:top w:val="none" w:sz="0" w:space="0" w:color="auto"/>
              <w:bottom w:val="none" w:sz="0" w:space="0" w:color="auto"/>
            </w:tcBorders>
            <w:shd w:val="clear" w:color="auto" w:fill="FFFFFF" w:themeFill="background1"/>
          </w:tcPr>
          <w:p w14:paraId="0EF91D5D" w14:textId="77777777" w:rsidR="00472D26" w:rsidRPr="003B1178" w:rsidRDefault="00226CF4"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    32%</w:t>
            </w:r>
          </w:p>
        </w:tc>
        <w:tc>
          <w:tcPr>
            <w:tcW w:w="1170" w:type="dxa"/>
            <w:tcBorders>
              <w:top w:val="none" w:sz="0" w:space="0" w:color="auto"/>
              <w:bottom w:val="none" w:sz="0" w:space="0" w:color="auto"/>
            </w:tcBorders>
            <w:shd w:val="clear" w:color="auto" w:fill="FFFFFF" w:themeFill="background1"/>
          </w:tcPr>
          <w:p w14:paraId="05E83315" w14:textId="77777777" w:rsidR="00472D26" w:rsidRPr="003B1178" w:rsidRDefault="00A45C39"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25%</w:t>
            </w:r>
          </w:p>
        </w:tc>
        <w:tc>
          <w:tcPr>
            <w:tcW w:w="1113" w:type="dxa"/>
            <w:tcBorders>
              <w:top w:val="none" w:sz="0" w:space="0" w:color="auto"/>
              <w:bottom w:val="none" w:sz="0" w:space="0" w:color="auto"/>
            </w:tcBorders>
            <w:shd w:val="clear" w:color="auto" w:fill="FFFFFF" w:themeFill="background1"/>
          </w:tcPr>
          <w:p w14:paraId="37FC6C3E" w14:textId="77777777" w:rsidR="00472D26" w:rsidRPr="003B1178" w:rsidRDefault="001B2879"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20%</w:t>
            </w:r>
          </w:p>
        </w:tc>
        <w:tc>
          <w:tcPr>
            <w:tcW w:w="1533" w:type="dxa"/>
            <w:tcBorders>
              <w:top w:val="none" w:sz="0" w:space="0" w:color="auto"/>
              <w:bottom w:val="none" w:sz="0" w:space="0" w:color="auto"/>
              <w:right w:val="none" w:sz="0" w:space="0" w:color="auto"/>
            </w:tcBorders>
            <w:shd w:val="clear" w:color="auto" w:fill="FFFFFF" w:themeFill="background1"/>
          </w:tcPr>
          <w:p w14:paraId="69D16887" w14:textId="77777777" w:rsidR="00472D26" w:rsidRPr="003B1178" w:rsidRDefault="002E70F9"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48%</w:t>
            </w:r>
          </w:p>
        </w:tc>
      </w:tr>
      <w:tr w:rsidR="00472D26" w:rsidRPr="00F46D57" w14:paraId="46E9AEE0" w14:textId="77777777" w:rsidTr="00F6494D">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tcPr>
          <w:p w14:paraId="29BBF4FA" w14:textId="77777777" w:rsidR="00472D26" w:rsidRPr="003B1178" w:rsidRDefault="00472D26" w:rsidP="00C83E5D">
            <w:pPr>
              <w:spacing w:line="204" w:lineRule="auto"/>
              <w:rPr>
                <w:rFonts w:ascii="Browallia New" w:hAnsi="Browallia New" w:cs="Browallia New"/>
              </w:rPr>
            </w:pPr>
            <w:r w:rsidRPr="003B1178">
              <w:rPr>
                <w:rFonts w:ascii="Browallia New" w:hAnsi="Browallia New" w:cs="Browallia New"/>
              </w:rPr>
              <w:t>Minimally</w:t>
            </w:r>
          </w:p>
        </w:tc>
        <w:tc>
          <w:tcPr>
            <w:tcW w:w="810" w:type="dxa"/>
            <w:shd w:val="clear" w:color="auto" w:fill="FFFFFF" w:themeFill="background1"/>
          </w:tcPr>
          <w:p w14:paraId="2AB1EB85" w14:textId="77777777" w:rsidR="00472D26" w:rsidRPr="003B1178" w:rsidRDefault="0021672C" w:rsidP="00C83E5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30%</w:t>
            </w:r>
          </w:p>
        </w:tc>
        <w:tc>
          <w:tcPr>
            <w:tcW w:w="1530" w:type="dxa"/>
            <w:shd w:val="clear" w:color="auto" w:fill="FFFFFF" w:themeFill="background1"/>
          </w:tcPr>
          <w:p w14:paraId="06A518D9" w14:textId="77777777" w:rsidR="00472D26" w:rsidRPr="003B1178" w:rsidRDefault="00226CF4" w:rsidP="00C83E5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rPr>
              <w:t xml:space="preserve">   </w:t>
            </w:r>
            <w:r w:rsidR="00825DB4" w:rsidRPr="003B1178">
              <w:rPr>
                <w:rFonts w:ascii="Browallia New" w:hAnsi="Browallia New" w:cs="Browallia New"/>
                <w:b/>
              </w:rPr>
              <w:t xml:space="preserve"> </w:t>
            </w:r>
            <w:r w:rsidRPr="003B1178">
              <w:rPr>
                <w:rFonts w:ascii="Browallia New" w:hAnsi="Browallia New" w:cs="Browallia New"/>
                <w:b/>
                <w:u w:val="single"/>
              </w:rPr>
              <w:t>30%</w:t>
            </w:r>
          </w:p>
        </w:tc>
        <w:tc>
          <w:tcPr>
            <w:tcW w:w="1170" w:type="dxa"/>
            <w:shd w:val="clear" w:color="auto" w:fill="FFFFFF" w:themeFill="background1"/>
          </w:tcPr>
          <w:p w14:paraId="06B6F3E8" w14:textId="77777777" w:rsidR="00472D26" w:rsidRPr="003B1178" w:rsidRDefault="00A45C39" w:rsidP="00C83E5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27%</w:t>
            </w:r>
          </w:p>
        </w:tc>
        <w:tc>
          <w:tcPr>
            <w:tcW w:w="1113" w:type="dxa"/>
            <w:shd w:val="clear" w:color="auto" w:fill="FFFFFF" w:themeFill="background1"/>
          </w:tcPr>
          <w:p w14:paraId="33B7D22A" w14:textId="77777777" w:rsidR="00472D26" w:rsidRPr="003B1178" w:rsidRDefault="001B2879" w:rsidP="004D518A">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3</w:t>
            </w:r>
            <w:r w:rsidR="004D518A" w:rsidRPr="003B1178">
              <w:rPr>
                <w:rFonts w:ascii="Browallia New" w:hAnsi="Browallia New" w:cs="Browallia New"/>
                <w:b/>
                <w:u w:val="single"/>
              </w:rPr>
              <w:t>6</w:t>
            </w:r>
            <w:r w:rsidRPr="003B1178">
              <w:rPr>
                <w:rFonts w:ascii="Browallia New" w:hAnsi="Browallia New" w:cs="Browallia New"/>
                <w:b/>
                <w:u w:val="single"/>
              </w:rPr>
              <w:t>%</w:t>
            </w:r>
          </w:p>
        </w:tc>
        <w:tc>
          <w:tcPr>
            <w:tcW w:w="1533" w:type="dxa"/>
            <w:shd w:val="clear" w:color="auto" w:fill="FFFFFF" w:themeFill="background1"/>
          </w:tcPr>
          <w:p w14:paraId="2E0668A8" w14:textId="77777777" w:rsidR="00472D26" w:rsidRPr="003B1178" w:rsidRDefault="002E70F9" w:rsidP="00C83E5D">
            <w:pPr>
              <w:spacing w:line="204" w:lineRule="auto"/>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u w:val="single"/>
              </w:rPr>
            </w:pPr>
            <w:r w:rsidRPr="003B1178">
              <w:rPr>
                <w:rFonts w:ascii="Browallia New" w:hAnsi="Browallia New" w:cs="Browallia New"/>
                <w:b/>
                <w:u w:val="single"/>
              </w:rPr>
              <w:t>27%</w:t>
            </w:r>
          </w:p>
        </w:tc>
      </w:tr>
      <w:tr w:rsidR="00472D26" w:rsidRPr="00F46D57" w14:paraId="454F8889"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left w:val="none" w:sz="0" w:space="0" w:color="auto"/>
              <w:bottom w:val="none" w:sz="0" w:space="0" w:color="auto"/>
            </w:tcBorders>
            <w:shd w:val="clear" w:color="auto" w:fill="FFFFFF" w:themeFill="background1"/>
          </w:tcPr>
          <w:p w14:paraId="0DE6A9E9" w14:textId="77777777" w:rsidR="00472D26" w:rsidRPr="003B1178" w:rsidRDefault="00472D26" w:rsidP="00C83E5D">
            <w:pPr>
              <w:spacing w:line="204" w:lineRule="auto"/>
              <w:rPr>
                <w:rFonts w:ascii="Browallia New" w:hAnsi="Browallia New" w:cs="Browallia New"/>
              </w:rPr>
            </w:pPr>
            <w:r w:rsidRPr="003B1178">
              <w:rPr>
                <w:rFonts w:ascii="Browallia New" w:hAnsi="Browallia New" w:cs="Browallia New"/>
              </w:rPr>
              <w:t xml:space="preserve">     Combined</w:t>
            </w:r>
          </w:p>
        </w:tc>
        <w:tc>
          <w:tcPr>
            <w:tcW w:w="810" w:type="dxa"/>
            <w:tcBorders>
              <w:top w:val="none" w:sz="0" w:space="0" w:color="auto"/>
              <w:bottom w:val="none" w:sz="0" w:space="0" w:color="auto"/>
            </w:tcBorders>
            <w:shd w:val="clear" w:color="auto" w:fill="FFFFFF" w:themeFill="background1"/>
          </w:tcPr>
          <w:p w14:paraId="6510FDA6" w14:textId="77777777" w:rsidR="00472D26" w:rsidRPr="003B1178" w:rsidRDefault="0021672C"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66%</w:t>
            </w:r>
          </w:p>
        </w:tc>
        <w:tc>
          <w:tcPr>
            <w:tcW w:w="1530" w:type="dxa"/>
            <w:tcBorders>
              <w:top w:val="none" w:sz="0" w:space="0" w:color="auto"/>
              <w:bottom w:val="none" w:sz="0" w:space="0" w:color="auto"/>
            </w:tcBorders>
            <w:shd w:val="clear" w:color="auto" w:fill="FFFFFF" w:themeFill="background1"/>
          </w:tcPr>
          <w:p w14:paraId="57DFB760" w14:textId="77777777" w:rsidR="00472D26" w:rsidRPr="003B1178" w:rsidRDefault="00825DB4"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 xml:space="preserve">   </w:t>
            </w:r>
            <w:r w:rsidR="00226CF4" w:rsidRPr="003B1178">
              <w:rPr>
                <w:rFonts w:ascii="Browallia New" w:hAnsi="Browallia New" w:cs="Browallia New"/>
                <w:b/>
              </w:rPr>
              <w:t xml:space="preserve"> </w:t>
            </w:r>
            <w:r w:rsidRPr="003B1178">
              <w:rPr>
                <w:rFonts w:ascii="Browallia New" w:hAnsi="Browallia New" w:cs="Browallia New"/>
                <w:b/>
              </w:rPr>
              <w:t>62%</w:t>
            </w:r>
          </w:p>
        </w:tc>
        <w:tc>
          <w:tcPr>
            <w:tcW w:w="1170" w:type="dxa"/>
            <w:tcBorders>
              <w:top w:val="none" w:sz="0" w:space="0" w:color="auto"/>
              <w:bottom w:val="none" w:sz="0" w:space="0" w:color="auto"/>
            </w:tcBorders>
            <w:shd w:val="clear" w:color="auto" w:fill="FFFFFF" w:themeFill="background1"/>
          </w:tcPr>
          <w:p w14:paraId="3C8AB132" w14:textId="77777777" w:rsidR="00472D26" w:rsidRPr="003B1178" w:rsidRDefault="00A45C39"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52%</w:t>
            </w:r>
          </w:p>
        </w:tc>
        <w:tc>
          <w:tcPr>
            <w:tcW w:w="1113" w:type="dxa"/>
            <w:tcBorders>
              <w:top w:val="none" w:sz="0" w:space="0" w:color="auto"/>
              <w:bottom w:val="none" w:sz="0" w:space="0" w:color="auto"/>
            </w:tcBorders>
            <w:shd w:val="clear" w:color="auto" w:fill="FFFFFF" w:themeFill="background1"/>
          </w:tcPr>
          <w:p w14:paraId="2FBCA468" w14:textId="77777777" w:rsidR="00472D26" w:rsidRPr="003B1178" w:rsidRDefault="001B2879"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56%</w:t>
            </w:r>
          </w:p>
        </w:tc>
        <w:tc>
          <w:tcPr>
            <w:tcW w:w="1533" w:type="dxa"/>
            <w:tcBorders>
              <w:top w:val="none" w:sz="0" w:space="0" w:color="auto"/>
              <w:bottom w:val="none" w:sz="0" w:space="0" w:color="auto"/>
              <w:right w:val="none" w:sz="0" w:space="0" w:color="auto"/>
            </w:tcBorders>
            <w:shd w:val="clear" w:color="auto" w:fill="FFFFFF" w:themeFill="background1"/>
          </w:tcPr>
          <w:p w14:paraId="72FBEA11" w14:textId="77777777" w:rsidR="00472D26" w:rsidRPr="003B1178" w:rsidRDefault="002E70F9" w:rsidP="00C83E5D">
            <w:pPr>
              <w:spacing w:line="204" w:lineRule="auto"/>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75%</w:t>
            </w:r>
          </w:p>
        </w:tc>
      </w:tr>
    </w:tbl>
    <w:p w14:paraId="1735BB13" w14:textId="77777777" w:rsidR="00796E36" w:rsidRPr="00F46D57" w:rsidRDefault="00796E36" w:rsidP="00796E36">
      <w:pPr>
        <w:jc w:val="both"/>
        <w:rPr>
          <w:rFonts w:ascii="Browallia New" w:hAnsi="Browallia New" w:cs="Browallia New"/>
        </w:rPr>
      </w:pPr>
    </w:p>
    <w:p w14:paraId="03569070" w14:textId="77777777" w:rsidR="002F2BDF" w:rsidRPr="00F46D57" w:rsidRDefault="006851D5" w:rsidP="00B050C7">
      <w:pPr>
        <w:spacing w:line="204" w:lineRule="auto"/>
        <w:jc w:val="both"/>
        <w:rPr>
          <w:rFonts w:ascii="Browallia New" w:hAnsi="Browallia New" w:cs="Browallia New"/>
          <w:color w:val="3891A7" w:themeColor="accent1"/>
          <w:sz w:val="36"/>
          <w:szCs w:val="36"/>
        </w:rPr>
      </w:pPr>
      <w:r w:rsidRPr="00775C92">
        <w:rPr>
          <w:rFonts w:ascii="Browallia New" w:hAnsi="Browallia New" w:cs="Browallia New"/>
          <w:sz w:val="28"/>
          <w:szCs w:val="28"/>
        </w:rPr>
        <w:t xml:space="preserve">Even </w:t>
      </w:r>
      <w:r w:rsidR="00796E36" w:rsidRPr="00775C92">
        <w:rPr>
          <w:rFonts w:ascii="Browallia New" w:hAnsi="Browallia New" w:cs="Browallia New"/>
          <w:sz w:val="28"/>
          <w:szCs w:val="28"/>
        </w:rPr>
        <w:t xml:space="preserve">public companies and financial services </w:t>
      </w:r>
      <w:r w:rsidRPr="00775C92">
        <w:rPr>
          <w:rFonts w:ascii="Browallia New" w:hAnsi="Browallia New" w:cs="Browallia New"/>
          <w:sz w:val="28"/>
          <w:szCs w:val="28"/>
        </w:rPr>
        <w:t xml:space="preserve">are unlikely to </w:t>
      </w:r>
      <w:r w:rsidR="00796E36" w:rsidRPr="00775C92">
        <w:rPr>
          <w:rFonts w:ascii="Browallia New" w:hAnsi="Browallia New" w:cs="Browallia New"/>
          <w:sz w:val="28"/>
          <w:szCs w:val="28"/>
        </w:rPr>
        <w:t xml:space="preserve">factor risk management activities into performance compensation, </w:t>
      </w:r>
      <w:r w:rsidR="000F05F0" w:rsidRPr="00775C92">
        <w:rPr>
          <w:rFonts w:ascii="Browallia New" w:hAnsi="Browallia New" w:cs="Browallia New"/>
          <w:sz w:val="28"/>
          <w:szCs w:val="28"/>
        </w:rPr>
        <w:t>generally around one-half of</w:t>
      </w:r>
      <w:r w:rsidR="00E3776C" w:rsidRPr="00775C92">
        <w:rPr>
          <w:rFonts w:ascii="Browallia New" w:hAnsi="Browallia New" w:cs="Browallia New"/>
          <w:sz w:val="28"/>
          <w:szCs w:val="28"/>
        </w:rPr>
        <w:t xml:space="preserve"> </w:t>
      </w:r>
      <w:r w:rsidR="00796E36" w:rsidRPr="00775C92">
        <w:rPr>
          <w:rFonts w:ascii="Browallia New" w:hAnsi="Browallia New" w:cs="Browallia New"/>
          <w:sz w:val="28"/>
          <w:szCs w:val="28"/>
        </w:rPr>
        <w:t xml:space="preserve">those subsets </w:t>
      </w:r>
      <w:r w:rsidR="007222C5" w:rsidRPr="00775C92">
        <w:rPr>
          <w:rFonts w:ascii="Browallia New" w:hAnsi="Browallia New" w:cs="Browallia New"/>
          <w:sz w:val="28"/>
          <w:szCs w:val="28"/>
        </w:rPr>
        <w:t>in</w:t>
      </w:r>
      <w:r w:rsidR="00796E36" w:rsidRPr="00775C92">
        <w:rPr>
          <w:rFonts w:ascii="Browallia New" w:hAnsi="Browallia New" w:cs="Browallia New"/>
          <w:sz w:val="28"/>
          <w:szCs w:val="28"/>
        </w:rPr>
        <w:t xml:space="preserve"> our sample are “not at all” or only “minimally” doing so as illustrated by the table </w:t>
      </w:r>
      <w:r w:rsidRPr="00775C92">
        <w:rPr>
          <w:rFonts w:ascii="Browallia New" w:hAnsi="Browallia New" w:cs="Browallia New"/>
          <w:sz w:val="28"/>
          <w:szCs w:val="28"/>
        </w:rPr>
        <w:t>above</w:t>
      </w:r>
      <w:r w:rsidR="00796E36" w:rsidRPr="00775C92">
        <w:rPr>
          <w:rFonts w:ascii="Browallia New" w:hAnsi="Browallia New" w:cs="Browallia New"/>
          <w:sz w:val="28"/>
          <w:szCs w:val="28"/>
        </w:rPr>
        <w:t>. The increasing focus on compensation and risk-taking should lead more organizations over time to consider modifications to their compensation</w:t>
      </w:r>
      <w:r w:rsidR="00E07634" w:rsidRPr="00775C92">
        <w:rPr>
          <w:rFonts w:ascii="Browallia New" w:hAnsi="Browallia New" w:cs="Browallia New"/>
          <w:sz w:val="28"/>
          <w:szCs w:val="28"/>
        </w:rPr>
        <w:t xml:space="preserve"> </w:t>
      </w:r>
      <w:r w:rsidR="00796E36" w:rsidRPr="00775C92">
        <w:rPr>
          <w:rFonts w:ascii="Browallia New" w:hAnsi="Browallia New" w:cs="Browallia New"/>
          <w:sz w:val="28"/>
          <w:szCs w:val="28"/>
        </w:rPr>
        <w:t>policies and procedures.</w:t>
      </w:r>
      <w:r w:rsidR="002F2BDF" w:rsidRPr="00F46D57">
        <w:rPr>
          <w:rFonts w:ascii="Browallia New" w:hAnsi="Browallia New" w:cs="Browallia New"/>
          <w:color w:val="3891A7" w:themeColor="accent1"/>
          <w:sz w:val="36"/>
          <w:szCs w:val="36"/>
        </w:rPr>
        <w:br w:type="page"/>
      </w:r>
    </w:p>
    <w:p w14:paraId="2AEFC592" w14:textId="77777777" w:rsidR="006D7966" w:rsidRPr="006A1779" w:rsidRDefault="00556EBB" w:rsidP="00E12ABA">
      <w:pPr>
        <w:shd w:val="clear" w:color="auto" w:fill="0070C0"/>
        <w:jc w:val="both"/>
        <w:rPr>
          <w:rFonts w:ascii="Browallia New" w:hAnsi="Browallia New" w:cs="Browallia New"/>
          <w:b/>
          <w:color w:val="FFFFFF" w:themeColor="background1"/>
          <w:sz w:val="36"/>
          <w:szCs w:val="36"/>
        </w:rPr>
      </w:pPr>
      <w:r>
        <w:rPr>
          <w:rFonts w:ascii="Browallia New" w:hAnsi="Browallia New" w:cs="Browallia New"/>
          <w:b/>
          <w:color w:val="FFFFFF" w:themeColor="background1"/>
          <w:sz w:val="36"/>
          <w:szCs w:val="36"/>
        </w:rPr>
        <w:lastRenderedPageBreak/>
        <w:t>PINPOINTING CHALLENGES TO ENHANCED RISK OVERSIGHT</w:t>
      </w:r>
    </w:p>
    <w:p w14:paraId="4B7B444F" w14:textId="77777777" w:rsidR="008A2E6D" w:rsidRPr="00B050C7" w:rsidRDefault="00B050C7" w:rsidP="00B050C7">
      <w:pPr>
        <w:pStyle w:val="ListParagraph"/>
        <w:numPr>
          <w:ilvl w:val="0"/>
          <w:numId w:val="43"/>
        </w:numPr>
        <w:spacing w:line="204" w:lineRule="auto"/>
        <w:ind w:right="432"/>
        <w:jc w:val="both"/>
        <w:rPr>
          <w:rFonts w:ascii="Browallia New" w:hAnsi="Browallia New" w:cs="Browallia New"/>
          <w:b/>
          <w:i/>
          <w:color w:val="1A6DA6"/>
          <w:sz w:val="28"/>
          <w:szCs w:val="28"/>
        </w:rPr>
      </w:pPr>
      <w:proofErr w:type="gramStart"/>
      <w:r>
        <w:rPr>
          <w:rFonts w:ascii="Browallia New" w:hAnsi="Browallia New" w:cs="Browallia New"/>
          <w:b/>
          <w:i/>
          <w:color w:val="1A6DA6"/>
          <w:sz w:val="28"/>
          <w:szCs w:val="28"/>
        </w:rPr>
        <w:t xml:space="preserve">A number </w:t>
      </w:r>
      <w:r w:rsidR="008A2E6D" w:rsidRPr="00B050C7">
        <w:rPr>
          <w:rFonts w:ascii="Browallia New" w:hAnsi="Browallia New" w:cs="Browallia New"/>
          <w:b/>
          <w:i/>
          <w:color w:val="1A6DA6"/>
          <w:sz w:val="28"/>
          <w:szCs w:val="28"/>
        </w:rPr>
        <w:t>of</w:t>
      </w:r>
      <w:proofErr w:type="gramEnd"/>
      <w:r w:rsidR="008A2E6D" w:rsidRPr="00B050C7">
        <w:rPr>
          <w:rFonts w:ascii="Browallia New" w:hAnsi="Browallia New" w:cs="Browallia New"/>
          <w:b/>
          <w:i/>
          <w:color w:val="1A6DA6"/>
          <w:sz w:val="28"/>
          <w:szCs w:val="28"/>
        </w:rPr>
        <w:t xml:space="preserve"> barriers to strengthening ERM processes </w:t>
      </w:r>
      <w:r>
        <w:rPr>
          <w:rFonts w:ascii="Browallia New" w:hAnsi="Browallia New" w:cs="Browallia New"/>
          <w:b/>
          <w:i/>
          <w:color w:val="1A6DA6"/>
          <w:sz w:val="28"/>
          <w:szCs w:val="28"/>
        </w:rPr>
        <w:t xml:space="preserve">exist </w:t>
      </w:r>
      <w:r w:rsidR="008A2E6D" w:rsidRPr="00B050C7">
        <w:rPr>
          <w:rFonts w:ascii="Browallia New" w:hAnsi="Browallia New" w:cs="Browallia New"/>
          <w:b/>
          <w:i/>
          <w:color w:val="1A6DA6"/>
          <w:sz w:val="28"/>
          <w:szCs w:val="28"/>
        </w:rPr>
        <w:t>that may need to be addressed before real advancement</w:t>
      </w:r>
      <w:r w:rsidR="00CB11D9" w:rsidRPr="00B050C7">
        <w:rPr>
          <w:rFonts w:ascii="Browallia New" w:hAnsi="Browallia New" w:cs="Browallia New"/>
          <w:b/>
          <w:i/>
          <w:color w:val="1A6DA6"/>
          <w:sz w:val="28"/>
          <w:szCs w:val="28"/>
        </w:rPr>
        <w:t xml:space="preserve"> in risk oversight is realized.</w:t>
      </w:r>
      <w:r w:rsidR="008A2E6D" w:rsidRPr="00B050C7">
        <w:rPr>
          <w:rFonts w:ascii="Browallia New" w:hAnsi="Browallia New" w:cs="Browallia New"/>
          <w:b/>
          <w:i/>
          <w:color w:val="1A6DA6"/>
          <w:sz w:val="28"/>
          <w:szCs w:val="28"/>
        </w:rPr>
        <w:t xml:space="preserve"> </w:t>
      </w:r>
    </w:p>
    <w:p w14:paraId="52F87579" w14:textId="77777777" w:rsidR="000108AE" w:rsidRPr="00AF7584" w:rsidRDefault="00796E36" w:rsidP="00775C92">
      <w:pPr>
        <w:spacing w:line="204" w:lineRule="auto"/>
        <w:jc w:val="both"/>
        <w:rPr>
          <w:rFonts w:ascii="Browallia New" w:hAnsi="Browallia New" w:cs="Browallia New"/>
          <w:sz w:val="28"/>
          <w:szCs w:val="28"/>
        </w:rPr>
      </w:pPr>
      <w:r w:rsidRPr="00775C92">
        <w:rPr>
          <w:rFonts w:ascii="Browallia New" w:hAnsi="Browallia New" w:cs="Browallia New"/>
          <w:sz w:val="28"/>
          <w:szCs w:val="28"/>
        </w:rPr>
        <w:t xml:space="preserve">While our analysis suggests that organizations have made </w:t>
      </w:r>
      <w:r w:rsidR="00CB11D9" w:rsidRPr="00775C92">
        <w:rPr>
          <w:rFonts w:ascii="Browallia New" w:hAnsi="Browallia New" w:cs="Browallia New"/>
          <w:sz w:val="28"/>
          <w:szCs w:val="28"/>
        </w:rPr>
        <w:t>significant progress</w:t>
      </w:r>
      <w:r w:rsidRPr="00775C92">
        <w:rPr>
          <w:rFonts w:ascii="Browallia New" w:hAnsi="Browallia New" w:cs="Browallia New"/>
          <w:sz w:val="28"/>
          <w:szCs w:val="28"/>
        </w:rPr>
        <w:t xml:space="preserve"> in how they identify, assess, and manage key risks, there is still plenty of room for improvement. In some ways it is encouraging to see </w:t>
      </w:r>
      <w:proofErr w:type="gramStart"/>
      <w:r w:rsidR="00E21A89" w:rsidRPr="00775C92">
        <w:rPr>
          <w:rFonts w:ascii="Browallia New" w:hAnsi="Browallia New" w:cs="Browallia New"/>
          <w:sz w:val="28"/>
          <w:szCs w:val="28"/>
        </w:rPr>
        <w:t>the</w:t>
      </w:r>
      <w:r w:rsidRPr="00775C92">
        <w:rPr>
          <w:rFonts w:ascii="Browallia New" w:hAnsi="Browallia New" w:cs="Browallia New"/>
          <w:sz w:val="28"/>
          <w:szCs w:val="28"/>
        </w:rPr>
        <w:t xml:space="preserve"> progress</w:t>
      </w:r>
      <w:proofErr w:type="gramEnd"/>
      <w:r w:rsidRPr="00775C92">
        <w:rPr>
          <w:rFonts w:ascii="Browallia New" w:hAnsi="Browallia New" w:cs="Browallia New"/>
          <w:sz w:val="28"/>
          <w:szCs w:val="28"/>
        </w:rPr>
        <w:t xml:space="preserve">; however, given the </w:t>
      </w:r>
      <w:r w:rsidR="0085626F" w:rsidRPr="00775C92">
        <w:rPr>
          <w:rFonts w:ascii="Browallia New" w:hAnsi="Browallia New" w:cs="Browallia New"/>
          <w:sz w:val="28"/>
          <w:szCs w:val="28"/>
        </w:rPr>
        <w:t xml:space="preserve">significant global financial, economic, and political challenges that have been in play </w:t>
      </w:r>
      <w:r w:rsidR="00961178" w:rsidRPr="00775C92">
        <w:rPr>
          <w:rFonts w:ascii="Browallia New" w:hAnsi="Browallia New" w:cs="Browallia New"/>
          <w:sz w:val="28"/>
          <w:szCs w:val="28"/>
        </w:rPr>
        <w:t>in recent years</w:t>
      </w:r>
      <w:r w:rsidR="0085626F" w:rsidRPr="00775C92">
        <w:rPr>
          <w:rFonts w:ascii="Browallia New" w:hAnsi="Browallia New" w:cs="Browallia New"/>
          <w:sz w:val="28"/>
          <w:szCs w:val="28"/>
        </w:rPr>
        <w:t xml:space="preserve">, it is discouraging </w:t>
      </w:r>
      <w:r w:rsidR="00E21A89" w:rsidRPr="00775C92">
        <w:rPr>
          <w:rFonts w:ascii="Browallia New" w:hAnsi="Browallia New" w:cs="Browallia New"/>
          <w:sz w:val="28"/>
          <w:szCs w:val="28"/>
        </w:rPr>
        <w:t xml:space="preserve">not </w:t>
      </w:r>
      <w:r w:rsidR="0085626F" w:rsidRPr="00775C92">
        <w:rPr>
          <w:rFonts w:ascii="Browallia New" w:hAnsi="Browallia New" w:cs="Browallia New"/>
          <w:sz w:val="28"/>
          <w:szCs w:val="28"/>
        </w:rPr>
        <w:t xml:space="preserve">to see </w:t>
      </w:r>
      <w:r w:rsidR="00E21A89" w:rsidRPr="00775C92">
        <w:rPr>
          <w:rFonts w:ascii="Browallia New" w:hAnsi="Browallia New" w:cs="Browallia New"/>
          <w:sz w:val="28"/>
          <w:szCs w:val="28"/>
        </w:rPr>
        <w:t>more organizations making</w:t>
      </w:r>
      <w:r w:rsidR="0085626F" w:rsidRPr="00775C92">
        <w:rPr>
          <w:rFonts w:ascii="Browallia New" w:hAnsi="Browallia New" w:cs="Browallia New"/>
          <w:sz w:val="28"/>
          <w:szCs w:val="28"/>
        </w:rPr>
        <w:t xml:space="preserve"> </w:t>
      </w:r>
      <w:r w:rsidR="00CB11D9" w:rsidRPr="00775C92">
        <w:rPr>
          <w:rFonts w:ascii="Browallia New" w:hAnsi="Browallia New" w:cs="Browallia New"/>
          <w:sz w:val="28"/>
          <w:szCs w:val="28"/>
        </w:rPr>
        <w:t>more rapid advances</w:t>
      </w:r>
      <w:r w:rsidR="0085626F" w:rsidRPr="00775C92">
        <w:rPr>
          <w:rFonts w:ascii="Browallia New" w:hAnsi="Browallia New" w:cs="Browallia New"/>
          <w:sz w:val="28"/>
          <w:szCs w:val="28"/>
        </w:rPr>
        <w:t xml:space="preserve"> in </w:t>
      </w:r>
      <w:r w:rsidR="0074771B" w:rsidRPr="00775C92">
        <w:rPr>
          <w:rFonts w:ascii="Browallia New" w:hAnsi="Browallia New" w:cs="Browallia New"/>
          <w:sz w:val="28"/>
          <w:szCs w:val="28"/>
        </w:rPr>
        <w:t xml:space="preserve">developing </w:t>
      </w:r>
      <w:r w:rsidR="0085626F" w:rsidRPr="00775C92">
        <w:rPr>
          <w:rFonts w:ascii="Browallia New" w:hAnsi="Browallia New" w:cs="Browallia New"/>
          <w:sz w:val="28"/>
          <w:szCs w:val="28"/>
        </w:rPr>
        <w:t xml:space="preserve">robust, systematic processes to oversee an entity’s most significant risk exposures. </w:t>
      </w:r>
      <w:r w:rsidR="000108AE" w:rsidRPr="00775C92">
        <w:rPr>
          <w:rFonts w:ascii="Browallia New" w:hAnsi="Browallia New" w:cs="Browallia New"/>
          <w:sz w:val="28"/>
          <w:szCs w:val="28"/>
        </w:rPr>
        <w:t xml:space="preserve">There appear to be </w:t>
      </w:r>
      <w:r w:rsidR="000108AE" w:rsidRPr="00AF7584">
        <w:rPr>
          <w:rFonts w:ascii="Browallia New" w:hAnsi="Browallia New" w:cs="Browallia New"/>
          <w:sz w:val="28"/>
          <w:szCs w:val="28"/>
        </w:rPr>
        <w:t xml:space="preserve">several perceived impediments that prevent management from </w:t>
      </w:r>
      <w:r w:rsidR="00B61A3C" w:rsidRPr="00AF7584">
        <w:rPr>
          <w:rFonts w:ascii="Browallia New" w:hAnsi="Browallia New" w:cs="Browallia New"/>
          <w:sz w:val="28"/>
          <w:szCs w:val="28"/>
        </w:rPr>
        <w:t xml:space="preserve">taking </w:t>
      </w:r>
      <w:r w:rsidR="0085626F" w:rsidRPr="00AF7584">
        <w:rPr>
          <w:rFonts w:ascii="Browallia New" w:hAnsi="Browallia New" w:cs="Browallia New"/>
          <w:sz w:val="28"/>
          <w:szCs w:val="28"/>
        </w:rPr>
        <w:t xml:space="preserve">the necessary </w:t>
      </w:r>
      <w:r w:rsidR="00B61A3C" w:rsidRPr="00AF7584">
        <w:rPr>
          <w:rFonts w:ascii="Browallia New" w:hAnsi="Browallia New" w:cs="Browallia New"/>
          <w:sz w:val="28"/>
          <w:szCs w:val="28"/>
        </w:rPr>
        <w:t>action</w:t>
      </w:r>
      <w:r w:rsidR="0085626F" w:rsidRPr="00AF7584">
        <w:rPr>
          <w:rFonts w:ascii="Browallia New" w:hAnsi="Browallia New" w:cs="Browallia New"/>
          <w:sz w:val="28"/>
          <w:szCs w:val="28"/>
        </w:rPr>
        <w:t>s</w:t>
      </w:r>
      <w:r w:rsidR="00B61A3C" w:rsidRPr="00AF7584">
        <w:rPr>
          <w:rFonts w:ascii="Browallia New" w:hAnsi="Browallia New" w:cs="Browallia New"/>
          <w:sz w:val="28"/>
          <w:szCs w:val="28"/>
        </w:rPr>
        <w:t xml:space="preserve"> to </w:t>
      </w:r>
      <w:r w:rsidR="000108AE" w:rsidRPr="00AF7584">
        <w:rPr>
          <w:rFonts w:ascii="Browallia New" w:hAnsi="Browallia New" w:cs="Browallia New"/>
          <w:sz w:val="28"/>
          <w:szCs w:val="28"/>
        </w:rPr>
        <w:t xml:space="preserve">strengthen their approach to risk oversight.  </w:t>
      </w:r>
    </w:p>
    <w:p w14:paraId="20BF7694" w14:textId="77777777" w:rsidR="002400DC" w:rsidRPr="00775C92" w:rsidRDefault="000108AE" w:rsidP="00775C92">
      <w:pPr>
        <w:spacing w:line="204" w:lineRule="auto"/>
        <w:jc w:val="both"/>
        <w:rPr>
          <w:rFonts w:ascii="Browallia New" w:hAnsi="Browallia New" w:cs="Browallia New"/>
          <w:i/>
          <w:sz w:val="28"/>
          <w:szCs w:val="28"/>
        </w:rPr>
      </w:pPr>
      <w:r w:rsidRPr="00AF7584">
        <w:rPr>
          <w:rFonts w:ascii="Browallia New" w:hAnsi="Browallia New" w:cs="Browallia New"/>
          <w:sz w:val="28"/>
          <w:szCs w:val="28"/>
        </w:rPr>
        <w:t>We</w:t>
      </w:r>
      <w:r w:rsidR="006D7966" w:rsidRPr="00AF7584">
        <w:rPr>
          <w:rFonts w:ascii="Browallia New" w:hAnsi="Browallia New" w:cs="Browallia New"/>
          <w:sz w:val="28"/>
          <w:szCs w:val="28"/>
        </w:rPr>
        <w:t xml:space="preserve"> asked respondents whose organizations have not yet implemented an enterprise-wide risk management process to provide some perspective on that decision. While respondents could indicate more than one impediment, the most common response (in </w:t>
      </w:r>
      <w:r w:rsidR="00AF7584" w:rsidRPr="00AF7584">
        <w:rPr>
          <w:rFonts w:ascii="Browallia New" w:hAnsi="Browallia New" w:cs="Browallia New"/>
          <w:sz w:val="28"/>
          <w:szCs w:val="28"/>
        </w:rPr>
        <w:t>48</w:t>
      </w:r>
      <w:r w:rsidR="005D6EE6" w:rsidRPr="00AF7584">
        <w:rPr>
          <w:rFonts w:ascii="Browallia New" w:hAnsi="Browallia New" w:cs="Browallia New"/>
          <w:sz w:val="28"/>
          <w:szCs w:val="28"/>
        </w:rPr>
        <w:t>%</w:t>
      </w:r>
      <w:r w:rsidR="006D7966" w:rsidRPr="00AF7584">
        <w:rPr>
          <w:rFonts w:ascii="Browallia New" w:hAnsi="Browallia New" w:cs="Browallia New"/>
          <w:sz w:val="28"/>
          <w:szCs w:val="28"/>
        </w:rPr>
        <w:t xml:space="preserve"> of the cases) was that they believe </w:t>
      </w:r>
      <w:r w:rsidR="00D10BAA" w:rsidRPr="00AF7584">
        <w:rPr>
          <w:rFonts w:ascii="Browallia New" w:hAnsi="Browallia New" w:cs="Browallia New"/>
          <w:sz w:val="28"/>
          <w:szCs w:val="28"/>
        </w:rPr>
        <w:t>“</w:t>
      </w:r>
      <w:r w:rsidR="008070B2" w:rsidRPr="00AF7584">
        <w:rPr>
          <w:rFonts w:ascii="Browallia New" w:hAnsi="Browallia New" w:cs="Browallia New"/>
          <w:sz w:val="28"/>
          <w:szCs w:val="28"/>
        </w:rPr>
        <w:t>risks are monitored in other ways besides ERM</w:t>
      </w:r>
      <w:r w:rsidR="006D7966" w:rsidRPr="00AF7584">
        <w:rPr>
          <w:rFonts w:ascii="Browallia New" w:hAnsi="Browallia New" w:cs="Browallia New"/>
          <w:sz w:val="28"/>
          <w:szCs w:val="28"/>
        </w:rPr>
        <w:t>.</w:t>
      </w:r>
      <w:r w:rsidR="00D10BAA" w:rsidRPr="00AF7584">
        <w:rPr>
          <w:rFonts w:ascii="Browallia New" w:hAnsi="Browallia New" w:cs="Browallia New"/>
          <w:sz w:val="28"/>
          <w:szCs w:val="28"/>
        </w:rPr>
        <w:t>”</w:t>
      </w:r>
      <w:r w:rsidR="005403E3" w:rsidRPr="00AF7584">
        <w:rPr>
          <w:rFonts w:ascii="Browallia New" w:hAnsi="Browallia New" w:cs="Browallia New"/>
          <w:sz w:val="28"/>
          <w:szCs w:val="28"/>
        </w:rPr>
        <w:t xml:space="preserve"> </w:t>
      </w:r>
      <w:r w:rsidR="00EE1D40" w:rsidRPr="00AF7584">
        <w:rPr>
          <w:rFonts w:ascii="Browallia New" w:hAnsi="Browallia New" w:cs="Browallia New"/>
          <w:sz w:val="28"/>
          <w:szCs w:val="28"/>
        </w:rPr>
        <w:t>T</w:t>
      </w:r>
      <w:r w:rsidR="002400DC" w:rsidRPr="00AF7584">
        <w:rPr>
          <w:rFonts w:ascii="Browallia New" w:hAnsi="Browallia New" w:cs="Browallia New"/>
          <w:sz w:val="28"/>
          <w:szCs w:val="28"/>
        </w:rPr>
        <w:t xml:space="preserve">his strikes us as interesting and paradoxical, given the lack of </w:t>
      </w:r>
      <w:r w:rsidR="0039190F" w:rsidRPr="00AF7584">
        <w:rPr>
          <w:rFonts w:ascii="Browallia New" w:hAnsi="Browallia New" w:cs="Browallia New"/>
          <w:sz w:val="28"/>
          <w:szCs w:val="28"/>
        </w:rPr>
        <w:t xml:space="preserve">risk oversight </w:t>
      </w:r>
      <w:r w:rsidR="004A62AD" w:rsidRPr="00AF7584">
        <w:rPr>
          <w:rFonts w:ascii="Browallia New" w:hAnsi="Browallia New" w:cs="Browallia New"/>
          <w:sz w:val="28"/>
          <w:szCs w:val="28"/>
        </w:rPr>
        <w:t>infra</w:t>
      </w:r>
      <w:r w:rsidR="0039190F" w:rsidRPr="00AF7584">
        <w:rPr>
          <w:rFonts w:ascii="Browallia New" w:hAnsi="Browallia New" w:cs="Browallia New"/>
          <w:sz w:val="28"/>
          <w:szCs w:val="28"/>
        </w:rPr>
        <w:t xml:space="preserve">structure </w:t>
      </w:r>
      <w:r w:rsidR="004A62AD" w:rsidRPr="00AF7584">
        <w:rPr>
          <w:rFonts w:ascii="Browallia New" w:hAnsi="Browallia New" w:cs="Browallia New"/>
          <w:sz w:val="28"/>
          <w:szCs w:val="28"/>
        </w:rPr>
        <w:t xml:space="preserve">highlighted </w:t>
      </w:r>
      <w:r w:rsidR="0039190F" w:rsidRPr="00AF7584">
        <w:rPr>
          <w:rFonts w:ascii="Browallia New" w:hAnsi="Browallia New" w:cs="Browallia New"/>
          <w:sz w:val="28"/>
          <w:szCs w:val="28"/>
        </w:rPr>
        <w:t xml:space="preserve">by the </w:t>
      </w:r>
      <w:r w:rsidR="002400DC" w:rsidRPr="00AF7584">
        <w:rPr>
          <w:rFonts w:ascii="Browallia New" w:hAnsi="Browallia New" w:cs="Browallia New"/>
          <w:sz w:val="28"/>
          <w:szCs w:val="28"/>
        </w:rPr>
        <w:t xml:space="preserve">data discussed </w:t>
      </w:r>
      <w:r w:rsidR="004A62AD" w:rsidRPr="00AF7584">
        <w:rPr>
          <w:rFonts w:ascii="Browallia New" w:hAnsi="Browallia New" w:cs="Browallia New"/>
          <w:sz w:val="28"/>
          <w:szCs w:val="28"/>
        </w:rPr>
        <w:t xml:space="preserve">in </w:t>
      </w:r>
      <w:r w:rsidR="002400DC" w:rsidRPr="00AF7584">
        <w:rPr>
          <w:rFonts w:ascii="Browallia New" w:hAnsi="Browallia New" w:cs="Browallia New"/>
          <w:sz w:val="28"/>
          <w:szCs w:val="28"/>
        </w:rPr>
        <w:t>the prior page</w:t>
      </w:r>
      <w:r w:rsidR="0039190F" w:rsidRPr="00AF7584">
        <w:rPr>
          <w:rFonts w:ascii="Browallia New" w:hAnsi="Browallia New" w:cs="Browallia New"/>
          <w:sz w:val="28"/>
          <w:szCs w:val="28"/>
        </w:rPr>
        <w:t>s of this report.</w:t>
      </w:r>
      <w:r w:rsidR="0085626F" w:rsidRPr="00AF7584">
        <w:rPr>
          <w:rFonts w:ascii="Browallia New" w:hAnsi="Browallia New" w:cs="Browallia New"/>
          <w:sz w:val="28"/>
          <w:szCs w:val="28"/>
        </w:rPr>
        <w:t xml:space="preserve"> It begs the question, </w:t>
      </w:r>
      <w:r w:rsidR="0085626F" w:rsidRPr="00AF7584">
        <w:rPr>
          <w:rFonts w:ascii="Browallia New" w:hAnsi="Browallia New" w:cs="Browallia New"/>
          <w:i/>
          <w:sz w:val="28"/>
          <w:szCs w:val="28"/>
        </w:rPr>
        <w:t>“so what processes are in place to help management and the board keep its eyes on emerging, strategic risks?”</w:t>
      </w:r>
    </w:p>
    <w:p w14:paraId="6C34DA83" w14:textId="77777777" w:rsidR="00772223" w:rsidRPr="00775C92" w:rsidRDefault="00AC11FD" w:rsidP="00775C92">
      <w:pPr>
        <w:spacing w:line="204" w:lineRule="auto"/>
        <w:jc w:val="both"/>
        <w:rPr>
          <w:rFonts w:ascii="Browallia New" w:hAnsi="Browallia New" w:cs="Browallia New"/>
          <w:sz w:val="28"/>
          <w:szCs w:val="28"/>
        </w:rPr>
      </w:pPr>
      <w:r w:rsidRPr="00775C92">
        <w:rPr>
          <w:rFonts w:ascii="Browallia New" w:hAnsi="Browallia New" w:cs="Browallia New"/>
          <w:sz w:val="28"/>
          <w:szCs w:val="28"/>
        </w:rPr>
        <w:t>Other</w:t>
      </w:r>
      <w:r w:rsidR="006D7966" w:rsidRPr="00775C92">
        <w:rPr>
          <w:rFonts w:ascii="Browallia New" w:hAnsi="Browallia New" w:cs="Browallia New"/>
          <w:sz w:val="28"/>
          <w:szCs w:val="28"/>
        </w:rPr>
        <w:t xml:space="preserve"> </w:t>
      </w:r>
      <w:r w:rsidR="006D7966" w:rsidRPr="00AF7584">
        <w:rPr>
          <w:rFonts w:ascii="Browallia New" w:hAnsi="Browallia New" w:cs="Browallia New"/>
          <w:sz w:val="28"/>
          <w:szCs w:val="28"/>
        </w:rPr>
        <w:t xml:space="preserve">responses were </w:t>
      </w:r>
      <w:r w:rsidR="008070B2" w:rsidRPr="00AF7584">
        <w:rPr>
          <w:rFonts w:ascii="Browallia New" w:hAnsi="Browallia New" w:cs="Browallia New"/>
          <w:sz w:val="28"/>
          <w:szCs w:val="28"/>
        </w:rPr>
        <w:t>“no requests to change our risk management approach”</w:t>
      </w:r>
      <w:r w:rsidR="004D6C96" w:rsidRPr="00AF7584">
        <w:rPr>
          <w:rFonts w:ascii="Browallia New" w:hAnsi="Browallia New" w:cs="Browallia New"/>
          <w:sz w:val="28"/>
          <w:szCs w:val="28"/>
        </w:rPr>
        <w:t xml:space="preserve"> and “do not see benefits exceeding costs,”</w:t>
      </w:r>
      <w:r w:rsidR="00540F4B" w:rsidRPr="00AF7584">
        <w:rPr>
          <w:rFonts w:ascii="Browallia New" w:hAnsi="Browallia New" w:cs="Browallia New"/>
          <w:sz w:val="28"/>
          <w:szCs w:val="28"/>
        </w:rPr>
        <w:t xml:space="preserve"> </w:t>
      </w:r>
      <w:r w:rsidR="00D528A9" w:rsidRPr="00AF7584">
        <w:rPr>
          <w:rFonts w:ascii="Browallia New" w:hAnsi="Browallia New" w:cs="Browallia New"/>
          <w:sz w:val="28"/>
          <w:szCs w:val="28"/>
        </w:rPr>
        <w:t xml:space="preserve">noted by </w:t>
      </w:r>
      <w:r w:rsidR="00AF7584" w:rsidRPr="00AF7584">
        <w:rPr>
          <w:rFonts w:ascii="Browallia New" w:hAnsi="Browallia New" w:cs="Browallia New"/>
          <w:sz w:val="28"/>
          <w:szCs w:val="28"/>
        </w:rPr>
        <w:t>36</w:t>
      </w:r>
      <w:r w:rsidR="005D6EE6" w:rsidRPr="00AF7584">
        <w:rPr>
          <w:rFonts w:ascii="Browallia New" w:hAnsi="Browallia New" w:cs="Browallia New"/>
          <w:sz w:val="28"/>
          <w:szCs w:val="28"/>
        </w:rPr>
        <w:t>%</w:t>
      </w:r>
      <w:r w:rsidR="00D528A9" w:rsidRPr="00AF7584">
        <w:rPr>
          <w:rFonts w:ascii="Browallia New" w:hAnsi="Browallia New" w:cs="Browallia New"/>
          <w:sz w:val="28"/>
          <w:szCs w:val="28"/>
        </w:rPr>
        <w:t xml:space="preserve"> and </w:t>
      </w:r>
      <w:r w:rsidR="00B74CAA" w:rsidRPr="00AF7584">
        <w:rPr>
          <w:rFonts w:ascii="Browallia New" w:hAnsi="Browallia New" w:cs="Browallia New"/>
          <w:sz w:val="28"/>
          <w:szCs w:val="28"/>
        </w:rPr>
        <w:t>2</w:t>
      </w:r>
      <w:r w:rsidR="00AF7584" w:rsidRPr="00AF7584">
        <w:rPr>
          <w:rFonts w:ascii="Browallia New" w:hAnsi="Browallia New" w:cs="Browallia New"/>
          <w:sz w:val="28"/>
          <w:szCs w:val="28"/>
        </w:rPr>
        <w:t>3</w:t>
      </w:r>
      <w:r w:rsidR="005D6EE6" w:rsidRPr="00AF7584">
        <w:rPr>
          <w:rFonts w:ascii="Browallia New" w:hAnsi="Browallia New" w:cs="Browallia New"/>
          <w:sz w:val="28"/>
          <w:szCs w:val="28"/>
        </w:rPr>
        <w:t>%</w:t>
      </w:r>
      <w:r w:rsidR="00D528A9" w:rsidRPr="00AF7584">
        <w:rPr>
          <w:rFonts w:ascii="Browallia New" w:hAnsi="Browallia New" w:cs="Browallia New"/>
          <w:sz w:val="28"/>
          <w:szCs w:val="28"/>
        </w:rPr>
        <w:t>, respectively, of respondents in the full sample</w:t>
      </w:r>
      <w:r w:rsidR="00B85ED8" w:rsidRPr="00AF7584">
        <w:rPr>
          <w:rFonts w:ascii="Browallia New" w:hAnsi="Browallia New" w:cs="Browallia New"/>
          <w:sz w:val="28"/>
          <w:szCs w:val="28"/>
        </w:rPr>
        <w:t xml:space="preserve">. </w:t>
      </w:r>
      <w:r w:rsidR="00AF7584" w:rsidRPr="00AF7584">
        <w:rPr>
          <w:rFonts w:ascii="Browallia New" w:hAnsi="Browallia New" w:cs="Browallia New"/>
          <w:sz w:val="28"/>
          <w:szCs w:val="28"/>
        </w:rPr>
        <w:t>Twenty-nine</w:t>
      </w:r>
      <w:r w:rsidR="00D528A9" w:rsidRPr="00AF7584">
        <w:rPr>
          <w:rFonts w:ascii="Browallia New" w:hAnsi="Browallia New" w:cs="Browallia New"/>
          <w:sz w:val="28"/>
          <w:szCs w:val="28"/>
        </w:rPr>
        <w:t xml:space="preserve"> percent of those </w:t>
      </w:r>
      <w:r w:rsidR="006D7966" w:rsidRPr="00AF7584">
        <w:rPr>
          <w:rFonts w:ascii="Browallia New" w:hAnsi="Browallia New" w:cs="Browallia New"/>
          <w:sz w:val="28"/>
          <w:szCs w:val="28"/>
        </w:rPr>
        <w:t xml:space="preserve">same respondents also noted </w:t>
      </w:r>
      <w:r w:rsidR="004D6C96" w:rsidRPr="00AF7584">
        <w:rPr>
          <w:rFonts w:ascii="Browallia New" w:hAnsi="Browallia New" w:cs="Browallia New"/>
          <w:sz w:val="28"/>
          <w:szCs w:val="28"/>
        </w:rPr>
        <w:t>that there are</w:t>
      </w:r>
      <w:r w:rsidR="00D528A9" w:rsidRPr="00AF7584">
        <w:rPr>
          <w:rFonts w:ascii="Browallia New" w:hAnsi="Browallia New" w:cs="Browallia New"/>
          <w:sz w:val="28"/>
          <w:szCs w:val="28"/>
        </w:rPr>
        <w:t xml:space="preserve"> “</w:t>
      </w:r>
      <w:r w:rsidR="004D6C96" w:rsidRPr="00AF7584">
        <w:rPr>
          <w:rFonts w:ascii="Browallia New" w:hAnsi="Browallia New" w:cs="Browallia New"/>
          <w:sz w:val="28"/>
          <w:szCs w:val="28"/>
        </w:rPr>
        <w:t>too many pressing needs</w:t>
      </w:r>
      <w:r w:rsidR="00D528A9" w:rsidRPr="00AF7584">
        <w:rPr>
          <w:rFonts w:ascii="Browallia New" w:hAnsi="Browallia New" w:cs="Browallia New"/>
          <w:sz w:val="28"/>
          <w:szCs w:val="28"/>
        </w:rPr>
        <w:t xml:space="preserve">” while </w:t>
      </w:r>
      <w:r w:rsidR="00AF7584" w:rsidRPr="00AF7584">
        <w:rPr>
          <w:rFonts w:ascii="Browallia New" w:hAnsi="Browallia New" w:cs="Browallia New"/>
          <w:sz w:val="28"/>
          <w:szCs w:val="28"/>
        </w:rPr>
        <w:t>26</w:t>
      </w:r>
      <w:r w:rsidR="005D6EE6" w:rsidRPr="00AF7584">
        <w:rPr>
          <w:rFonts w:ascii="Browallia New" w:hAnsi="Browallia New" w:cs="Browallia New"/>
          <w:sz w:val="28"/>
          <w:szCs w:val="28"/>
        </w:rPr>
        <w:t>%</w:t>
      </w:r>
      <w:r w:rsidR="00540F4B" w:rsidRPr="00AF7584">
        <w:rPr>
          <w:rFonts w:ascii="Browallia New" w:hAnsi="Browallia New" w:cs="Browallia New"/>
          <w:sz w:val="28"/>
          <w:szCs w:val="28"/>
        </w:rPr>
        <w:t xml:space="preserve"> </w:t>
      </w:r>
      <w:r w:rsidR="00D528A9" w:rsidRPr="00AF7584">
        <w:rPr>
          <w:rFonts w:ascii="Browallia New" w:hAnsi="Browallia New" w:cs="Browallia New"/>
          <w:sz w:val="28"/>
          <w:szCs w:val="28"/>
        </w:rPr>
        <w:t xml:space="preserve">reported </w:t>
      </w:r>
      <w:r w:rsidR="006D7966" w:rsidRPr="00AF7584">
        <w:rPr>
          <w:rFonts w:ascii="Browallia New" w:hAnsi="Browallia New" w:cs="Browallia New"/>
          <w:sz w:val="28"/>
          <w:szCs w:val="28"/>
        </w:rPr>
        <w:t>a belief that they</w:t>
      </w:r>
      <w:r w:rsidR="00E21A89" w:rsidRPr="00AF7584">
        <w:rPr>
          <w:rFonts w:ascii="Browallia New" w:hAnsi="Browallia New" w:cs="Browallia New"/>
          <w:sz w:val="28"/>
          <w:szCs w:val="28"/>
        </w:rPr>
        <w:t xml:space="preserve"> had</w:t>
      </w:r>
      <w:r w:rsidR="00540F4B" w:rsidRPr="00AF7584">
        <w:rPr>
          <w:rFonts w:ascii="Browallia New" w:hAnsi="Browallia New" w:cs="Browallia New"/>
          <w:sz w:val="28"/>
          <w:szCs w:val="28"/>
        </w:rPr>
        <w:t xml:space="preserve"> </w:t>
      </w:r>
      <w:r w:rsidR="008070B2" w:rsidRPr="00AF7584">
        <w:rPr>
          <w:rFonts w:ascii="Browallia New" w:hAnsi="Browallia New" w:cs="Browallia New"/>
          <w:sz w:val="28"/>
          <w:szCs w:val="28"/>
        </w:rPr>
        <w:t>“</w:t>
      </w:r>
      <w:r w:rsidR="004D6C96" w:rsidRPr="00AF7584">
        <w:rPr>
          <w:rFonts w:ascii="Browallia New" w:hAnsi="Browallia New" w:cs="Browallia New"/>
          <w:sz w:val="28"/>
          <w:szCs w:val="28"/>
        </w:rPr>
        <w:t>no one to lead the effort</w:t>
      </w:r>
      <w:r w:rsidR="008070B2" w:rsidRPr="00AF7584">
        <w:rPr>
          <w:rFonts w:ascii="Browallia New" w:hAnsi="Browallia New" w:cs="Browallia New"/>
          <w:sz w:val="28"/>
          <w:szCs w:val="28"/>
        </w:rPr>
        <w:t>.”</w:t>
      </w:r>
    </w:p>
    <w:p w14:paraId="42AFD01F" w14:textId="77777777" w:rsidR="006D7966" w:rsidRPr="00775C92" w:rsidRDefault="00772223" w:rsidP="00775C92">
      <w:pPr>
        <w:spacing w:line="204" w:lineRule="auto"/>
        <w:jc w:val="both"/>
        <w:rPr>
          <w:rFonts w:ascii="Browallia New" w:hAnsi="Browallia New" w:cs="Browallia New"/>
          <w:sz w:val="28"/>
          <w:szCs w:val="28"/>
        </w:rPr>
      </w:pPr>
      <w:r w:rsidRPr="00AF7584">
        <w:rPr>
          <w:rFonts w:ascii="Browallia New" w:hAnsi="Browallia New" w:cs="Browallia New"/>
          <w:sz w:val="28"/>
          <w:szCs w:val="28"/>
        </w:rPr>
        <w:t xml:space="preserve">These findings are </w:t>
      </w:r>
      <w:proofErr w:type="gramStart"/>
      <w:r w:rsidRPr="00AF7584">
        <w:rPr>
          <w:rFonts w:ascii="Browallia New" w:hAnsi="Browallia New" w:cs="Browallia New"/>
          <w:sz w:val="28"/>
          <w:szCs w:val="28"/>
        </w:rPr>
        <w:t>similar to</w:t>
      </w:r>
      <w:proofErr w:type="gramEnd"/>
      <w:r w:rsidRPr="00AF7584">
        <w:rPr>
          <w:rFonts w:ascii="Browallia New" w:hAnsi="Browallia New" w:cs="Browallia New"/>
          <w:sz w:val="28"/>
          <w:szCs w:val="28"/>
        </w:rPr>
        <w:t xml:space="preserve"> those reported in our </w:t>
      </w:r>
      <w:r w:rsidR="00FB1562" w:rsidRPr="00AF7584">
        <w:rPr>
          <w:rFonts w:ascii="Browallia New" w:hAnsi="Browallia New" w:cs="Browallia New"/>
          <w:sz w:val="28"/>
          <w:szCs w:val="28"/>
        </w:rPr>
        <w:t>earlier</w:t>
      </w:r>
      <w:r w:rsidRPr="00AF7584">
        <w:rPr>
          <w:rFonts w:ascii="Browallia New" w:hAnsi="Browallia New" w:cs="Browallia New"/>
          <w:sz w:val="28"/>
          <w:szCs w:val="28"/>
        </w:rPr>
        <w:t xml:space="preserve"> report</w:t>
      </w:r>
      <w:r w:rsidR="00D528A9" w:rsidRPr="00AF7584">
        <w:rPr>
          <w:rFonts w:ascii="Browallia New" w:hAnsi="Browallia New" w:cs="Browallia New"/>
          <w:sz w:val="28"/>
          <w:szCs w:val="28"/>
        </w:rPr>
        <w:t>s</w:t>
      </w:r>
      <w:r w:rsidRPr="00AF7584">
        <w:rPr>
          <w:rFonts w:ascii="Browallia New" w:hAnsi="Browallia New" w:cs="Browallia New"/>
          <w:sz w:val="28"/>
          <w:szCs w:val="28"/>
        </w:rPr>
        <w:t xml:space="preserve">. </w:t>
      </w:r>
      <w:r w:rsidR="006D7966" w:rsidRPr="00AF7584">
        <w:rPr>
          <w:rFonts w:ascii="Browallia New" w:hAnsi="Browallia New" w:cs="Browallia New"/>
          <w:sz w:val="28"/>
          <w:szCs w:val="28"/>
        </w:rPr>
        <w:t xml:space="preserve">So, there has been little change </w:t>
      </w:r>
      <w:proofErr w:type="gramStart"/>
      <w:r w:rsidR="006D7966" w:rsidRPr="00AF7584">
        <w:rPr>
          <w:rFonts w:ascii="Browallia New" w:hAnsi="Browallia New" w:cs="Browallia New"/>
          <w:sz w:val="28"/>
          <w:szCs w:val="28"/>
        </w:rPr>
        <w:t xml:space="preserve">in </w:t>
      </w:r>
      <w:r w:rsidR="005A7BAE" w:rsidRPr="00AF7584">
        <w:rPr>
          <w:rFonts w:ascii="Browallia New" w:hAnsi="Browallia New" w:cs="Browallia New"/>
          <w:sz w:val="28"/>
          <w:szCs w:val="28"/>
        </w:rPr>
        <w:t xml:space="preserve">the nature of </w:t>
      </w:r>
      <w:r w:rsidR="006D7966" w:rsidRPr="00AF7584">
        <w:rPr>
          <w:rFonts w:ascii="Browallia New" w:hAnsi="Browallia New" w:cs="Browallia New"/>
          <w:sz w:val="28"/>
          <w:szCs w:val="28"/>
        </w:rPr>
        <w:t>barrier</w:t>
      </w:r>
      <w:r w:rsidR="005A7BAE" w:rsidRPr="00AF7584">
        <w:rPr>
          <w:rFonts w:ascii="Browallia New" w:hAnsi="Browallia New" w:cs="Browallia New"/>
          <w:sz w:val="28"/>
          <w:szCs w:val="28"/>
        </w:rPr>
        <w:t>s</w:t>
      </w:r>
      <w:proofErr w:type="gramEnd"/>
      <w:r w:rsidR="006D7966" w:rsidRPr="00AF7584">
        <w:rPr>
          <w:rFonts w:ascii="Browallia New" w:hAnsi="Browallia New" w:cs="Browallia New"/>
          <w:sz w:val="28"/>
          <w:szCs w:val="28"/>
        </w:rPr>
        <w:t xml:space="preserve"> to embracing an ERM approach to risk oversight. Instead, there appears to be </w:t>
      </w:r>
      <w:proofErr w:type="gramStart"/>
      <w:r w:rsidR="006D7966" w:rsidRPr="00AF7584">
        <w:rPr>
          <w:rFonts w:ascii="Browallia New" w:hAnsi="Browallia New" w:cs="Browallia New"/>
          <w:sz w:val="28"/>
          <w:szCs w:val="28"/>
        </w:rPr>
        <w:t>a strong</w:t>
      </w:r>
      <w:proofErr w:type="gramEnd"/>
      <w:r w:rsidR="006D7966" w:rsidRPr="00AF7584">
        <w:rPr>
          <w:rFonts w:ascii="Browallia New" w:hAnsi="Browallia New" w:cs="Browallia New"/>
          <w:sz w:val="28"/>
          <w:szCs w:val="28"/>
        </w:rPr>
        <w:t xml:space="preserve"> confidence that existing risk management processes are adequate to address the risks that may arise</w:t>
      </w:r>
      <w:r w:rsidR="00BB6E9C" w:rsidRPr="00AF7584">
        <w:rPr>
          <w:rFonts w:ascii="Browallia New" w:hAnsi="Browallia New" w:cs="Browallia New"/>
          <w:sz w:val="28"/>
          <w:szCs w:val="28"/>
        </w:rPr>
        <w:t>. This is somewhat surprising given</w:t>
      </w:r>
      <w:r w:rsidR="000108AE" w:rsidRPr="00AF7584">
        <w:rPr>
          <w:rFonts w:ascii="Browallia New" w:hAnsi="Browallia New" w:cs="Browallia New"/>
          <w:sz w:val="28"/>
          <w:szCs w:val="28"/>
        </w:rPr>
        <w:t xml:space="preserve"> </w:t>
      </w:r>
      <w:r w:rsidR="00B74CAA" w:rsidRPr="00AF7584">
        <w:rPr>
          <w:rFonts w:ascii="Browallia New" w:hAnsi="Browallia New" w:cs="Browallia New"/>
          <w:sz w:val="28"/>
          <w:szCs w:val="28"/>
        </w:rPr>
        <w:t>38</w:t>
      </w:r>
      <w:r w:rsidR="00EB3E28" w:rsidRPr="00AF7584">
        <w:rPr>
          <w:rFonts w:ascii="Browallia New" w:hAnsi="Browallia New" w:cs="Browallia New"/>
          <w:sz w:val="28"/>
          <w:szCs w:val="28"/>
        </w:rPr>
        <w:t>%</w:t>
      </w:r>
      <w:r w:rsidRPr="00AF7584">
        <w:rPr>
          <w:rFonts w:ascii="Browallia New" w:hAnsi="Browallia New" w:cs="Browallia New"/>
          <w:sz w:val="28"/>
          <w:szCs w:val="28"/>
        </w:rPr>
        <w:t xml:space="preserve"> of the full sample describe their risk oversight processes as very immature </w:t>
      </w:r>
      <w:r w:rsidR="00B417ED" w:rsidRPr="00AF7584">
        <w:rPr>
          <w:rFonts w:ascii="Browallia New" w:hAnsi="Browallia New" w:cs="Browallia New"/>
          <w:sz w:val="28"/>
          <w:szCs w:val="28"/>
        </w:rPr>
        <w:t xml:space="preserve">or </w:t>
      </w:r>
      <w:r w:rsidR="005403E3" w:rsidRPr="00AF7584">
        <w:rPr>
          <w:rFonts w:ascii="Browallia New" w:hAnsi="Browallia New" w:cs="Browallia New"/>
          <w:sz w:val="28"/>
          <w:szCs w:val="28"/>
        </w:rPr>
        <w:t>just developing</w:t>
      </w:r>
      <w:r w:rsidR="00B417ED" w:rsidRPr="00AF7584">
        <w:rPr>
          <w:rFonts w:ascii="Browallia New" w:hAnsi="Browallia New" w:cs="Browallia New"/>
          <w:sz w:val="28"/>
          <w:szCs w:val="28"/>
        </w:rPr>
        <w:t>,</w:t>
      </w:r>
      <w:r w:rsidRPr="00AF7584">
        <w:rPr>
          <w:rFonts w:ascii="Browallia New" w:hAnsi="Browallia New" w:cs="Browallia New"/>
          <w:sz w:val="28"/>
          <w:szCs w:val="28"/>
        </w:rPr>
        <w:t xml:space="preserve"> and </w:t>
      </w:r>
      <w:r w:rsidR="000108AE" w:rsidRPr="00AF7584">
        <w:rPr>
          <w:rFonts w:ascii="Browallia New" w:hAnsi="Browallia New" w:cs="Browallia New"/>
          <w:sz w:val="28"/>
          <w:szCs w:val="28"/>
        </w:rPr>
        <w:t xml:space="preserve">a large </w:t>
      </w:r>
      <w:r w:rsidR="00B417ED" w:rsidRPr="00AF7584">
        <w:rPr>
          <w:rFonts w:ascii="Browallia New" w:hAnsi="Browallia New" w:cs="Browallia New"/>
          <w:sz w:val="28"/>
          <w:szCs w:val="28"/>
        </w:rPr>
        <w:t>pro</w:t>
      </w:r>
      <w:r w:rsidR="000108AE" w:rsidRPr="00AF7584">
        <w:rPr>
          <w:rFonts w:ascii="Browallia New" w:hAnsi="Browallia New" w:cs="Browallia New"/>
          <w:sz w:val="28"/>
          <w:szCs w:val="28"/>
        </w:rPr>
        <w:t xml:space="preserve">portion of our respondents indicated an overall dissatisfaction with their current approach to </w:t>
      </w:r>
      <w:r w:rsidRPr="00AF7584">
        <w:rPr>
          <w:rFonts w:ascii="Browallia New" w:hAnsi="Browallia New" w:cs="Browallia New"/>
          <w:sz w:val="28"/>
          <w:szCs w:val="28"/>
        </w:rPr>
        <w:t>the reporting of information to senior executives about</w:t>
      </w:r>
      <w:r w:rsidRPr="00775C92">
        <w:rPr>
          <w:rFonts w:ascii="Browallia New" w:hAnsi="Browallia New" w:cs="Browallia New"/>
          <w:sz w:val="28"/>
          <w:szCs w:val="28"/>
        </w:rPr>
        <w:t xml:space="preserve"> </w:t>
      </w:r>
      <w:r w:rsidR="002805E2" w:rsidRPr="00775C92">
        <w:rPr>
          <w:rFonts w:ascii="Browallia New" w:hAnsi="Browallia New" w:cs="Browallia New"/>
          <w:sz w:val="28"/>
          <w:szCs w:val="28"/>
        </w:rPr>
        <w:t>top risk exposures</w:t>
      </w:r>
      <w:r w:rsidR="000108AE" w:rsidRPr="00775C92">
        <w:rPr>
          <w:rFonts w:ascii="Browallia New" w:hAnsi="Browallia New" w:cs="Browallia New"/>
          <w:sz w:val="28"/>
          <w:szCs w:val="28"/>
        </w:rPr>
        <w:t>.</w:t>
      </w:r>
    </w:p>
    <w:p w14:paraId="6DD00AE7" w14:textId="77777777" w:rsidR="006A1779" w:rsidRPr="00775C92" w:rsidRDefault="006D7966" w:rsidP="00775C92">
      <w:pPr>
        <w:spacing w:line="204" w:lineRule="auto"/>
        <w:jc w:val="both"/>
        <w:rPr>
          <w:rFonts w:ascii="Browallia New" w:hAnsi="Browallia New" w:cs="Browallia New"/>
          <w:sz w:val="28"/>
          <w:szCs w:val="28"/>
        </w:rPr>
      </w:pPr>
      <w:r w:rsidRPr="00775C92">
        <w:rPr>
          <w:rFonts w:ascii="Browallia New" w:hAnsi="Browallia New" w:cs="Browallia New"/>
          <w:sz w:val="28"/>
          <w:szCs w:val="28"/>
        </w:rPr>
        <w:t xml:space="preserve">Respondents provided more depth about some of the primary barriers. </w:t>
      </w:r>
      <w:r w:rsidR="00B61A3C" w:rsidRPr="00775C92">
        <w:rPr>
          <w:rFonts w:ascii="Browallia New" w:hAnsi="Browallia New" w:cs="Browallia New"/>
          <w:sz w:val="28"/>
          <w:szCs w:val="28"/>
        </w:rPr>
        <w:t xml:space="preserve">The </w:t>
      </w:r>
      <w:r w:rsidR="0031531A" w:rsidRPr="00775C92">
        <w:rPr>
          <w:rFonts w:ascii="Browallia New" w:hAnsi="Browallia New" w:cs="Browallia New"/>
          <w:sz w:val="28"/>
          <w:szCs w:val="28"/>
        </w:rPr>
        <w:t xml:space="preserve">table </w:t>
      </w:r>
      <w:r w:rsidR="00D06166" w:rsidRPr="00775C92">
        <w:rPr>
          <w:rFonts w:ascii="Browallia New" w:hAnsi="Browallia New" w:cs="Browallia New"/>
          <w:sz w:val="28"/>
          <w:szCs w:val="28"/>
        </w:rPr>
        <w:t>on the next page</w:t>
      </w:r>
      <w:r w:rsidR="00B61A3C" w:rsidRPr="00775C92">
        <w:rPr>
          <w:rFonts w:ascii="Browallia New" w:hAnsi="Browallia New" w:cs="Browallia New"/>
          <w:sz w:val="28"/>
          <w:szCs w:val="28"/>
        </w:rPr>
        <w:t xml:space="preserve"> contains </w:t>
      </w:r>
      <w:r w:rsidRPr="00775C92">
        <w:rPr>
          <w:rFonts w:ascii="Browallia New" w:hAnsi="Browallia New" w:cs="Browallia New"/>
          <w:sz w:val="28"/>
          <w:szCs w:val="28"/>
        </w:rPr>
        <w:t xml:space="preserve">a summary of those that the respondents described as </w:t>
      </w:r>
      <w:r w:rsidR="00CF2DFB" w:rsidRPr="00775C92">
        <w:rPr>
          <w:rFonts w:ascii="Browallia New" w:hAnsi="Browallia New" w:cs="Browallia New"/>
          <w:sz w:val="28"/>
          <w:szCs w:val="28"/>
        </w:rPr>
        <w:t xml:space="preserve">a </w:t>
      </w:r>
      <w:r w:rsidRPr="00775C92">
        <w:rPr>
          <w:rFonts w:ascii="Browallia New" w:hAnsi="Browallia New" w:cs="Browallia New"/>
          <w:sz w:val="28"/>
          <w:szCs w:val="28"/>
        </w:rPr>
        <w:t>“</w:t>
      </w:r>
      <w:r w:rsidR="00A834FB" w:rsidRPr="00775C92">
        <w:rPr>
          <w:rFonts w:ascii="Browallia New" w:hAnsi="Browallia New" w:cs="Browallia New"/>
          <w:sz w:val="28"/>
          <w:szCs w:val="28"/>
        </w:rPr>
        <w:t>b</w:t>
      </w:r>
      <w:r w:rsidR="00CF2DFB" w:rsidRPr="00775C92">
        <w:rPr>
          <w:rFonts w:ascii="Browallia New" w:hAnsi="Browallia New" w:cs="Browallia New"/>
          <w:sz w:val="28"/>
          <w:szCs w:val="28"/>
        </w:rPr>
        <w:t>arrier</w:t>
      </w:r>
      <w:r w:rsidRPr="00775C92">
        <w:rPr>
          <w:rFonts w:ascii="Browallia New" w:hAnsi="Browallia New" w:cs="Browallia New"/>
          <w:sz w:val="28"/>
          <w:szCs w:val="28"/>
        </w:rPr>
        <w:t xml:space="preserve">” </w:t>
      </w:r>
      <w:r w:rsidR="00AB2E79" w:rsidRPr="00775C92">
        <w:rPr>
          <w:rFonts w:ascii="Browallia New" w:hAnsi="Browallia New" w:cs="Browallia New"/>
          <w:sz w:val="28"/>
          <w:szCs w:val="28"/>
        </w:rPr>
        <w:t>or</w:t>
      </w:r>
      <w:r w:rsidRPr="00775C92">
        <w:rPr>
          <w:rFonts w:ascii="Browallia New" w:hAnsi="Browallia New" w:cs="Browallia New"/>
          <w:sz w:val="28"/>
          <w:szCs w:val="28"/>
        </w:rPr>
        <w:t xml:space="preserve"> “</w:t>
      </w:r>
      <w:r w:rsidR="00A834FB" w:rsidRPr="00775C92">
        <w:rPr>
          <w:rFonts w:ascii="Browallia New" w:hAnsi="Browallia New" w:cs="Browallia New"/>
          <w:sz w:val="28"/>
          <w:szCs w:val="28"/>
        </w:rPr>
        <w:t>s</w:t>
      </w:r>
      <w:r w:rsidRPr="00775C92">
        <w:rPr>
          <w:rFonts w:ascii="Browallia New" w:hAnsi="Browallia New" w:cs="Browallia New"/>
          <w:sz w:val="28"/>
          <w:szCs w:val="28"/>
        </w:rPr>
        <w:t xml:space="preserve">ignificant </w:t>
      </w:r>
      <w:r w:rsidR="00A834FB" w:rsidRPr="00775C92">
        <w:rPr>
          <w:rFonts w:ascii="Browallia New" w:hAnsi="Browallia New" w:cs="Browallia New"/>
          <w:sz w:val="28"/>
          <w:szCs w:val="28"/>
        </w:rPr>
        <w:t>b</w:t>
      </w:r>
      <w:r w:rsidRPr="00775C92">
        <w:rPr>
          <w:rFonts w:ascii="Browallia New" w:hAnsi="Browallia New" w:cs="Browallia New"/>
          <w:sz w:val="28"/>
          <w:szCs w:val="28"/>
        </w:rPr>
        <w:t xml:space="preserve">arrier.” Competing priorities and a lack of sufficient resources appear to be the most common barriers to </w:t>
      </w:r>
      <w:r w:rsidR="00A834FB" w:rsidRPr="00775C92">
        <w:rPr>
          <w:rFonts w:ascii="Browallia New" w:hAnsi="Browallia New" w:cs="Browallia New"/>
          <w:sz w:val="28"/>
          <w:szCs w:val="28"/>
        </w:rPr>
        <w:t xml:space="preserve">adopting </w:t>
      </w:r>
      <w:r w:rsidRPr="00775C92">
        <w:rPr>
          <w:rFonts w:ascii="Browallia New" w:hAnsi="Browallia New" w:cs="Browallia New"/>
          <w:sz w:val="28"/>
          <w:szCs w:val="28"/>
        </w:rPr>
        <w:t xml:space="preserve">an ERM approach to risk oversight. A lack of perceived value and a lack of visible ERM leadership among boards and senior executives also </w:t>
      </w:r>
      <w:r w:rsidR="00A834FB" w:rsidRPr="00775C92">
        <w:rPr>
          <w:rFonts w:ascii="Browallia New" w:hAnsi="Browallia New" w:cs="Browallia New"/>
          <w:sz w:val="28"/>
          <w:szCs w:val="28"/>
        </w:rPr>
        <w:t xml:space="preserve">affect </w:t>
      </w:r>
      <w:r w:rsidRPr="00775C92">
        <w:rPr>
          <w:rFonts w:ascii="Browallia New" w:hAnsi="Browallia New" w:cs="Browallia New"/>
          <w:sz w:val="28"/>
          <w:szCs w:val="28"/>
        </w:rPr>
        <w:t xml:space="preserve">ERM implementation decisions. The ordering of these most common barriers is consistent with the ordering of results </w:t>
      </w:r>
      <w:r w:rsidR="00114F3F" w:rsidRPr="00775C92">
        <w:rPr>
          <w:rFonts w:ascii="Browallia New" w:hAnsi="Browallia New" w:cs="Browallia New"/>
          <w:sz w:val="28"/>
          <w:szCs w:val="28"/>
        </w:rPr>
        <w:t xml:space="preserve">provided </w:t>
      </w:r>
      <w:r w:rsidR="00EB3E28" w:rsidRPr="00775C92">
        <w:rPr>
          <w:rFonts w:ascii="Browallia New" w:hAnsi="Browallia New" w:cs="Browallia New"/>
          <w:sz w:val="28"/>
          <w:szCs w:val="28"/>
        </w:rPr>
        <w:t>in all our prior years’</w:t>
      </w:r>
      <w:r w:rsidRPr="00775C92">
        <w:rPr>
          <w:rFonts w:ascii="Browallia New" w:hAnsi="Browallia New" w:cs="Browallia New"/>
          <w:sz w:val="28"/>
          <w:szCs w:val="28"/>
        </w:rPr>
        <w:t xml:space="preserve"> report</w:t>
      </w:r>
      <w:r w:rsidR="006858B8" w:rsidRPr="00775C92">
        <w:rPr>
          <w:rFonts w:ascii="Browallia New" w:hAnsi="Browallia New" w:cs="Browallia New"/>
          <w:sz w:val="28"/>
          <w:szCs w:val="28"/>
        </w:rPr>
        <w:t>s</w:t>
      </w:r>
      <w:r w:rsidRPr="00775C92">
        <w:rPr>
          <w:rFonts w:ascii="Browallia New" w:hAnsi="Browallia New" w:cs="Browallia New"/>
          <w:sz w:val="28"/>
          <w:szCs w:val="28"/>
        </w:rPr>
        <w:t>.</w:t>
      </w:r>
      <w:r w:rsidR="00540F4B" w:rsidRPr="00775C92">
        <w:rPr>
          <w:rFonts w:ascii="Browallia New" w:hAnsi="Browallia New" w:cs="Browallia New"/>
          <w:sz w:val="28"/>
          <w:szCs w:val="28"/>
        </w:rPr>
        <w:t xml:space="preserve"> </w:t>
      </w:r>
      <w:r w:rsidR="00A834FB" w:rsidRPr="00775C92">
        <w:rPr>
          <w:rFonts w:ascii="Browallia New" w:hAnsi="Browallia New" w:cs="Browallia New"/>
          <w:sz w:val="28"/>
          <w:szCs w:val="28"/>
        </w:rPr>
        <w:t>T</w:t>
      </w:r>
      <w:r w:rsidR="006858B8" w:rsidRPr="00775C92">
        <w:rPr>
          <w:rFonts w:ascii="Browallia New" w:hAnsi="Browallia New" w:cs="Browallia New"/>
          <w:sz w:val="28"/>
          <w:szCs w:val="28"/>
        </w:rPr>
        <w:t xml:space="preserve">he results are </w:t>
      </w:r>
      <w:r w:rsidR="00A834FB" w:rsidRPr="00775C92">
        <w:rPr>
          <w:rFonts w:ascii="Browallia New" w:hAnsi="Browallia New" w:cs="Browallia New"/>
          <w:sz w:val="28"/>
          <w:szCs w:val="28"/>
        </w:rPr>
        <w:t xml:space="preserve">also </w:t>
      </w:r>
      <w:r w:rsidR="006858B8" w:rsidRPr="00775C92">
        <w:rPr>
          <w:rFonts w:ascii="Browallia New" w:hAnsi="Browallia New" w:cs="Browallia New"/>
          <w:sz w:val="28"/>
          <w:szCs w:val="28"/>
        </w:rPr>
        <w:t xml:space="preserve">very similar for each of the subsets </w:t>
      </w:r>
      <w:r w:rsidR="006858B8" w:rsidRPr="004F325F">
        <w:rPr>
          <w:rFonts w:ascii="Browallia New" w:hAnsi="Browallia New" w:cs="Browallia New"/>
          <w:sz w:val="28"/>
          <w:szCs w:val="28"/>
        </w:rPr>
        <w:t>we examined (largest organizations</w:t>
      </w:r>
      <w:r w:rsidR="00A834FB" w:rsidRPr="004F325F">
        <w:rPr>
          <w:rFonts w:ascii="Browallia New" w:hAnsi="Browallia New" w:cs="Browallia New"/>
          <w:sz w:val="28"/>
          <w:szCs w:val="28"/>
        </w:rPr>
        <w:t>,</w:t>
      </w:r>
      <w:r w:rsidR="006858B8" w:rsidRPr="004F325F">
        <w:rPr>
          <w:rFonts w:ascii="Browallia New" w:hAnsi="Browallia New" w:cs="Browallia New"/>
          <w:sz w:val="28"/>
          <w:szCs w:val="28"/>
        </w:rPr>
        <w:t xml:space="preserve"> public companies only</w:t>
      </w:r>
      <w:r w:rsidR="00A834FB" w:rsidRPr="004F325F">
        <w:rPr>
          <w:rFonts w:ascii="Browallia New" w:hAnsi="Browallia New" w:cs="Browallia New"/>
          <w:sz w:val="28"/>
          <w:szCs w:val="28"/>
        </w:rPr>
        <w:t>, and</w:t>
      </w:r>
      <w:r w:rsidR="006858B8" w:rsidRPr="004F325F">
        <w:rPr>
          <w:rFonts w:ascii="Browallia New" w:hAnsi="Browallia New" w:cs="Browallia New"/>
          <w:sz w:val="28"/>
          <w:szCs w:val="28"/>
        </w:rPr>
        <w:t xml:space="preserve"> financial </w:t>
      </w:r>
      <w:r w:rsidR="006F6A75" w:rsidRPr="004F325F">
        <w:rPr>
          <w:rFonts w:ascii="Browallia New" w:hAnsi="Browallia New" w:cs="Browallia New"/>
          <w:sz w:val="28"/>
          <w:szCs w:val="28"/>
        </w:rPr>
        <w:t>services firms</w:t>
      </w:r>
      <w:r w:rsidR="006858B8" w:rsidRPr="004F325F">
        <w:rPr>
          <w:rFonts w:ascii="Browallia New" w:hAnsi="Browallia New" w:cs="Browallia New"/>
          <w:sz w:val="28"/>
          <w:szCs w:val="28"/>
        </w:rPr>
        <w:t>).</w:t>
      </w:r>
      <w:r w:rsidR="003825BF" w:rsidRPr="004F325F">
        <w:rPr>
          <w:rFonts w:ascii="Browallia New" w:hAnsi="Browallia New" w:cs="Browallia New"/>
          <w:sz w:val="28"/>
          <w:szCs w:val="28"/>
        </w:rPr>
        <w:t xml:space="preserve"> A higher percentage of not-for-profits (</w:t>
      </w:r>
      <w:r w:rsidR="00012907" w:rsidRPr="004F325F">
        <w:rPr>
          <w:rFonts w:ascii="Browallia New" w:hAnsi="Browallia New" w:cs="Browallia New"/>
          <w:sz w:val="28"/>
          <w:szCs w:val="28"/>
        </w:rPr>
        <w:t>5</w:t>
      </w:r>
      <w:r w:rsidR="004F325F" w:rsidRPr="004F325F">
        <w:rPr>
          <w:rFonts w:ascii="Browallia New" w:hAnsi="Browallia New" w:cs="Browallia New"/>
          <w:sz w:val="28"/>
          <w:szCs w:val="28"/>
        </w:rPr>
        <w:t>7</w:t>
      </w:r>
      <w:r w:rsidR="005D6EE6" w:rsidRPr="004F325F">
        <w:rPr>
          <w:rFonts w:ascii="Browallia New" w:hAnsi="Browallia New" w:cs="Browallia New"/>
          <w:sz w:val="28"/>
          <w:szCs w:val="28"/>
        </w:rPr>
        <w:t>%</w:t>
      </w:r>
      <w:r w:rsidR="003825BF" w:rsidRPr="004F325F">
        <w:rPr>
          <w:rFonts w:ascii="Browallia New" w:hAnsi="Browallia New" w:cs="Browallia New"/>
          <w:sz w:val="28"/>
          <w:szCs w:val="28"/>
        </w:rPr>
        <w:t>) relat</w:t>
      </w:r>
      <w:r w:rsidR="004F325F" w:rsidRPr="004F325F">
        <w:rPr>
          <w:rFonts w:ascii="Browallia New" w:hAnsi="Browallia New" w:cs="Browallia New"/>
          <w:sz w:val="28"/>
          <w:szCs w:val="28"/>
        </w:rPr>
        <w:t>ive</w:t>
      </w:r>
      <w:r w:rsidR="003825BF" w:rsidRPr="004F325F">
        <w:rPr>
          <w:rFonts w:ascii="Browallia New" w:hAnsi="Browallia New" w:cs="Browallia New"/>
          <w:sz w:val="28"/>
          <w:szCs w:val="28"/>
        </w:rPr>
        <w:t xml:space="preserve"> to the full sample noted that competing priorities are the primary barrier to their embrace of ERM</w:t>
      </w:r>
      <w:r w:rsidR="003825BF" w:rsidRPr="00775C92">
        <w:rPr>
          <w:rFonts w:ascii="Browallia New" w:hAnsi="Browallia New" w:cs="Browallia New"/>
          <w:sz w:val="28"/>
          <w:szCs w:val="28"/>
        </w:rPr>
        <w:t>.</w:t>
      </w:r>
    </w:p>
    <w:p w14:paraId="613F315C" w14:textId="77777777" w:rsidR="006A1779" w:rsidRPr="00775C92" w:rsidRDefault="006A1779" w:rsidP="00775C92">
      <w:pPr>
        <w:spacing w:line="204" w:lineRule="auto"/>
        <w:rPr>
          <w:rFonts w:ascii="Browallia New" w:hAnsi="Browallia New" w:cs="Browallia New"/>
          <w:sz w:val="28"/>
          <w:szCs w:val="28"/>
        </w:rPr>
      </w:pPr>
    </w:p>
    <w:p w14:paraId="5055708F" w14:textId="77777777" w:rsidR="00E63AB1" w:rsidRDefault="00E63AB1" w:rsidP="006D7966">
      <w:pPr>
        <w:jc w:val="both"/>
        <w:rPr>
          <w:rFonts w:ascii="Browallia New" w:hAnsi="Browallia New" w:cs="Browallia New"/>
        </w:rPr>
      </w:pPr>
    </w:p>
    <w:p w14:paraId="547C5D59" w14:textId="77777777" w:rsidR="00F6494D" w:rsidRDefault="00F6494D" w:rsidP="006D7966">
      <w:pPr>
        <w:jc w:val="both"/>
        <w:rPr>
          <w:rFonts w:ascii="Browallia New" w:hAnsi="Browallia New" w:cs="Browallia New"/>
        </w:rPr>
      </w:pPr>
    </w:p>
    <w:p w14:paraId="6229E5F4" w14:textId="6D31BACB" w:rsidR="00F6494D" w:rsidRPr="00181B6D" w:rsidRDefault="00F6494D" w:rsidP="006D7966">
      <w:pPr>
        <w:jc w:val="both"/>
        <w:rPr>
          <w:rStyle w:val="IntenseReference"/>
          <w:color w:val="auto"/>
        </w:rPr>
      </w:pPr>
      <w:r w:rsidRPr="00181B6D">
        <w:rPr>
          <w:rStyle w:val="IntenseReference"/>
          <w:color w:val="auto"/>
        </w:rPr>
        <w:lastRenderedPageBreak/>
        <w:t>Percentage Believing Barrier is</w:t>
      </w:r>
      <w:r w:rsidRPr="00181B6D">
        <w:rPr>
          <w:rStyle w:val="IntenseReference"/>
          <w:color w:val="auto"/>
        </w:rPr>
        <w:t xml:space="preserve"> Barrier, Significant Barrier, or Combined Percentage</w:t>
      </w:r>
    </w:p>
    <w:tbl>
      <w:tblPr>
        <w:tblStyle w:val="LightList-Accent3"/>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1848"/>
        <w:gridCol w:w="1756"/>
        <w:gridCol w:w="1799"/>
      </w:tblGrid>
      <w:tr w:rsidR="006F6A75" w:rsidRPr="00F46D57" w14:paraId="1D22DF73" w14:textId="77777777" w:rsidTr="00F64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shd w:val="clear" w:color="auto" w:fill="A6A6A6" w:themeFill="background1" w:themeFillShade="A6"/>
          </w:tcPr>
          <w:p w14:paraId="22A627BF" w14:textId="77777777" w:rsidR="006F6A75" w:rsidRPr="003B1178" w:rsidRDefault="006F6A75" w:rsidP="006F6A75">
            <w:pPr>
              <w:jc w:val="both"/>
              <w:rPr>
                <w:rFonts w:ascii="Browallia New" w:hAnsi="Browallia New" w:cs="Browallia New"/>
                <w:color w:val="auto"/>
                <w:u w:val="single"/>
              </w:rPr>
            </w:pPr>
            <w:r w:rsidRPr="003B1178">
              <w:rPr>
                <w:rFonts w:ascii="Browallia New" w:hAnsi="Browallia New" w:cs="Browallia New"/>
                <w:color w:val="auto"/>
                <w:u w:val="single"/>
              </w:rPr>
              <w:t>Description of Barrier</w:t>
            </w:r>
          </w:p>
        </w:tc>
        <w:tc>
          <w:tcPr>
            <w:tcW w:w="1850" w:type="dxa"/>
            <w:shd w:val="clear" w:color="auto" w:fill="A6A6A6" w:themeFill="background1" w:themeFillShade="A6"/>
          </w:tcPr>
          <w:p w14:paraId="5B4F8C8C" w14:textId="77777777" w:rsidR="006F6A75" w:rsidRPr="003B1178" w:rsidRDefault="006F6A75" w:rsidP="006F6A7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“Barrier”</w:t>
            </w:r>
          </w:p>
        </w:tc>
        <w:tc>
          <w:tcPr>
            <w:tcW w:w="1757" w:type="dxa"/>
            <w:shd w:val="clear" w:color="auto" w:fill="A6A6A6" w:themeFill="background1" w:themeFillShade="A6"/>
          </w:tcPr>
          <w:p w14:paraId="15CFBF9D" w14:textId="77777777" w:rsidR="006F6A75" w:rsidRPr="003B1178" w:rsidRDefault="006F6A75" w:rsidP="006F6A7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“Significant Barrier”</w:t>
            </w:r>
          </w:p>
        </w:tc>
        <w:tc>
          <w:tcPr>
            <w:tcW w:w="1800" w:type="dxa"/>
            <w:shd w:val="clear" w:color="auto" w:fill="A6A6A6" w:themeFill="background1" w:themeFillShade="A6"/>
          </w:tcPr>
          <w:p w14:paraId="5DF69AF6" w14:textId="77777777" w:rsidR="006F6A75" w:rsidRPr="003B1178" w:rsidRDefault="006F6A75" w:rsidP="006F6A7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r w:rsidRPr="003B1178">
              <w:rPr>
                <w:rFonts w:ascii="Browallia New" w:hAnsi="Browallia New" w:cs="Browallia New"/>
                <w:color w:val="auto"/>
                <w:u w:val="single"/>
              </w:rPr>
              <w:t>Combined Percentage</w:t>
            </w:r>
          </w:p>
          <w:p w14:paraId="58A3C0A8" w14:textId="77777777" w:rsidR="006A1779" w:rsidRPr="003B1178" w:rsidRDefault="006A1779" w:rsidP="006F6A7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auto"/>
                <w:u w:val="single"/>
              </w:rPr>
            </w:pPr>
          </w:p>
        </w:tc>
      </w:tr>
      <w:tr w:rsidR="006F6A75" w:rsidRPr="00F46D57" w14:paraId="6E318EC4"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Borders>
              <w:top w:val="none" w:sz="0" w:space="0" w:color="auto"/>
              <w:left w:val="none" w:sz="0" w:space="0" w:color="auto"/>
              <w:bottom w:val="none" w:sz="0" w:space="0" w:color="auto"/>
            </w:tcBorders>
            <w:shd w:val="clear" w:color="auto" w:fill="FFFFFF" w:themeFill="background1"/>
          </w:tcPr>
          <w:p w14:paraId="5DE30043" w14:textId="77777777" w:rsidR="006F6A75" w:rsidRPr="003B1178" w:rsidRDefault="006F6A75" w:rsidP="005403E3">
            <w:pPr>
              <w:jc w:val="both"/>
              <w:rPr>
                <w:rFonts w:ascii="Browallia New" w:hAnsi="Browallia New" w:cs="Browallia New"/>
              </w:rPr>
            </w:pPr>
            <w:r w:rsidRPr="003B1178">
              <w:rPr>
                <w:rFonts w:ascii="Browallia New" w:hAnsi="Browallia New" w:cs="Browallia New"/>
              </w:rPr>
              <w:t>Competing priorities</w:t>
            </w:r>
          </w:p>
        </w:tc>
        <w:tc>
          <w:tcPr>
            <w:tcW w:w="1850" w:type="dxa"/>
            <w:tcBorders>
              <w:top w:val="none" w:sz="0" w:space="0" w:color="auto"/>
              <w:bottom w:val="none" w:sz="0" w:space="0" w:color="auto"/>
            </w:tcBorders>
            <w:shd w:val="clear" w:color="auto" w:fill="FFFFFF" w:themeFill="background1"/>
          </w:tcPr>
          <w:p w14:paraId="688E0119" w14:textId="77777777" w:rsidR="006F6A75" w:rsidRPr="003B1178" w:rsidRDefault="00957832"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29%</w:t>
            </w:r>
          </w:p>
        </w:tc>
        <w:tc>
          <w:tcPr>
            <w:tcW w:w="1757" w:type="dxa"/>
            <w:tcBorders>
              <w:top w:val="none" w:sz="0" w:space="0" w:color="auto"/>
              <w:bottom w:val="none" w:sz="0" w:space="0" w:color="auto"/>
            </w:tcBorders>
            <w:shd w:val="clear" w:color="auto" w:fill="FFFFFF" w:themeFill="background1"/>
          </w:tcPr>
          <w:p w14:paraId="2ACD1877" w14:textId="77777777" w:rsidR="006F6A75" w:rsidRPr="003B1178" w:rsidRDefault="00957832"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18%</w:t>
            </w:r>
          </w:p>
        </w:tc>
        <w:tc>
          <w:tcPr>
            <w:tcW w:w="1800" w:type="dxa"/>
            <w:tcBorders>
              <w:top w:val="none" w:sz="0" w:space="0" w:color="auto"/>
              <w:bottom w:val="none" w:sz="0" w:space="0" w:color="auto"/>
              <w:right w:val="none" w:sz="0" w:space="0" w:color="auto"/>
            </w:tcBorders>
            <w:shd w:val="clear" w:color="auto" w:fill="FFFFFF" w:themeFill="background1"/>
          </w:tcPr>
          <w:p w14:paraId="193054CA" w14:textId="77777777" w:rsidR="006F6A75" w:rsidRPr="003B1178" w:rsidRDefault="00957832"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47%</w:t>
            </w:r>
          </w:p>
        </w:tc>
      </w:tr>
      <w:tr w:rsidR="006F6A75" w:rsidRPr="00F46D57" w14:paraId="7B714D68" w14:textId="77777777" w:rsidTr="00F6494D">
        <w:tc>
          <w:tcPr>
            <w:cnfStyle w:val="001000000000" w:firstRow="0" w:lastRow="0" w:firstColumn="1" w:lastColumn="0" w:oddVBand="0" w:evenVBand="0" w:oddHBand="0" w:evenHBand="0" w:firstRowFirstColumn="0" w:firstRowLastColumn="0" w:lastRowFirstColumn="0" w:lastRowLastColumn="0"/>
            <w:tcW w:w="3953" w:type="dxa"/>
            <w:shd w:val="clear" w:color="auto" w:fill="FFFFFF" w:themeFill="background1"/>
          </w:tcPr>
          <w:p w14:paraId="7E3ED6AE" w14:textId="77777777" w:rsidR="006F6A75" w:rsidRPr="003B1178" w:rsidRDefault="006F6A75" w:rsidP="005403E3">
            <w:pPr>
              <w:jc w:val="both"/>
              <w:rPr>
                <w:rFonts w:ascii="Browallia New" w:hAnsi="Browallia New" w:cs="Browallia New"/>
              </w:rPr>
            </w:pPr>
            <w:r w:rsidRPr="003B1178">
              <w:rPr>
                <w:rFonts w:ascii="Browallia New" w:hAnsi="Browallia New" w:cs="Browallia New"/>
              </w:rPr>
              <w:t>Insufficient resources</w:t>
            </w:r>
          </w:p>
        </w:tc>
        <w:tc>
          <w:tcPr>
            <w:tcW w:w="1850" w:type="dxa"/>
            <w:shd w:val="clear" w:color="auto" w:fill="FFFFFF" w:themeFill="background1"/>
          </w:tcPr>
          <w:p w14:paraId="4BBEDD8D"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27%</w:t>
            </w:r>
          </w:p>
        </w:tc>
        <w:tc>
          <w:tcPr>
            <w:tcW w:w="1757" w:type="dxa"/>
            <w:shd w:val="clear" w:color="auto" w:fill="FFFFFF" w:themeFill="background1"/>
          </w:tcPr>
          <w:p w14:paraId="74464C4D"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17%</w:t>
            </w:r>
          </w:p>
        </w:tc>
        <w:tc>
          <w:tcPr>
            <w:tcW w:w="1800" w:type="dxa"/>
            <w:shd w:val="clear" w:color="auto" w:fill="FFFFFF" w:themeFill="background1"/>
          </w:tcPr>
          <w:p w14:paraId="47EA1D42"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44%</w:t>
            </w:r>
          </w:p>
        </w:tc>
      </w:tr>
      <w:tr w:rsidR="006F6A75" w:rsidRPr="00F46D57" w14:paraId="7209A0AA"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Borders>
              <w:top w:val="none" w:sz="0" w:space="0" w:color="auto"/>
              <w:left w:val="none" w:sz="0" w:space="0" w:color="auto"/>
              <w:bottom w:val="none" w:sz="0" w:space="0" w:color="auto"/>
            </w:tcBorders>
            <w:shd w:val="clear" w:color="auto" w:fill="FFFFFF" w:themeFill="background1"/>
          </w:tcPr>
          <w:p w14:paraId="44B38638" w14:textId="77777777" w:rsidR="006F6A75" w:rsidRPr="003B1178" w:rsidRDefault="006F6A75" w:rsidP="005403E3">
            <w:pPr>
              <w:jc w:val="both"/>
              <w:rPr>
                <w:rFonts w:ascii="Browallia New" w:hAnsi="Browallia New" w:cs="Browallia New"/>
              </w:rPr>
            </w:pPr>
            <w:r w:rsidRPr="003B1178">
              <w:rPr>
                <w:rFonts w:ascii="Browallia New" w:hAnsi="Browallia New" w:cs="Browallia New"/>
              </w:rPr>
              <w:t>Lack of perceived value</w:t>
            </w:r>
          </w:p>
        </w:tc>
        <w:tc>
          <w:tcPr>
            <w:tcW w:w="1850" w:type="dxa"/>
            <w:tcBorders>
              <w:top w:val="none" w:sz="0" w:space="0" w:color="auto"/>
              <w:bottom w:val="none" w:sz="0" w:space="0" w:color="auto"/>
            </w:tcBorders>
            <w:shd w:val="clear" w:color="auto" w:fill="FFFFFF" w:themeFill="background1"/>
          </w:tcPr>
          <w:p w14:paraId="3630DA80" w14:textId="77777777" w:rsidR="006F6A75" w:rsidRPr="003B1178" w:rsidRDefault="007E7426"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24%</w:t>
            </w:r>
          </w:p>
        </w:tc>
        <w:tc>
          <w:tcPr>
            <w:tcW w:w="1757" w:type="dxa"/>
            <w:tcBorders>
              <w:top w:val="none" w:sz="0" w:space="0" w:color="auto"/>
              <w:bottom w:val="none" w:sz="0" w:space="0" w:color="auto"/>
            </w:tcBorders>
            <w:shd w:val="clear" w:color="auto" w:fill="FFFFFF" w:themeFill="background1"/>
          </w:tcPr>
          <w:p w14:paraId="0B3B3745" w14:textId="77777777" w:rsidR="006F6A75" w:rsidRPr="003B1178" w:rsidRDefault="007E7426"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15%</w:t>
            </w:r>
          </w:p>
        </w:tc>
        <w:tc>
          <w:tcPr>
            <w:tcW w:w="1800" w:type="dxa"/>
            <w:tcBorders>
              <w:top w:val="none" w:sz="0" w:space="0" w:color="auto"/>
              <w:bottom w:val="none" w:sz="0" w:space="0" w:color="auto"/>
              <w:right w:val="none" w:sz="0" w:space="0" w:color="auto"/>
            </w:tcBorders>
            <w:shd w:val="clear" w:color="auto" w:fill="FFFFFF" w:themeFill="background1"/>
          </w:tcPr>
          <w:p w14:paraId="79C41294" w14:textId="77777777" w:rsidR="006F6A75" w:rsidRPr="003B1178" w:rsidRDefault="007E7426"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39%</w:t>
            </w:r>
          </w:p>
        </w:tc>
      </w:tr>
      <w:tr w:rsidR="006F6A75" w:rsidRPr="00F46D57" w14:paraId="135CD7CB" w14:textId="77777777" w:rsidTr="00F6494D">
        <w:tc>
          <w:tcPr>
            <w:cnfStyle w:val="001000000000" w:firstRow="0" w:lastRow="0" w:firstColumn="1" w:lastColumn="0" w:oddVBand="0" w:evenVBand="0" w:oddHBand="0" w:evenHBand="0" w:firstRowFirstColumn="0" w:firstRowLastColumn="0" w:lastRowFirstColumn="0" w:lastRowLastColumn="0"/>
            <w:tcW w:w="3953" w:type="dxa"/>
            <w:shd w:val="clear" w:color="auto" w:fill="FFFFFF" w:themeFill="background1"/>
          </w:tcPr>
          <w:p w14:paraId="76657EFC" w14:textId="77777777" w:rsidR="006F6A75" w:rsidRPr="003B1178" w:rsidRDefault="006F6A75" w:rsidP="005403E3">
            <w:pPr>
              <w:jc w:val="both"/>
              <w:rPr>
                <w:rFonts w:ascii="Browallia New" w:hAnsi="Browallia New" w:cs="Browallia New"/>
              </w:rPr>
            </w:pPr>
            <w:r w:rsidRPr="003B1178">
              <w:rPr>
                <w:rFonts w:ascii="Browallia New" w:hAnsi="Browallia New" w:cs="Browallia New"/>
              </w:rPr>
              <w:t>Perception ERM adds bureaucracy</w:t>
            </w:r>
          </w:p>
        </w:tc>
        <w:tc>
          <w:tcPr>
            <w:tcW w:w="1850" w:type="dxa"/>
            <w:shd w:val="clear" w:color="auto" w:fill="FFFFFF" w:themeFill="background1"/>
          </w:tcPr>
          <w:p w14:paraId="2EC572AC"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19%</w:t>
            </w:r>
          </w:p>
        </w:tc>
        <w:tc>
          <w:tcPr>
            <w:tcW w:w="1757" w:type="dxa"/>
            <w:shd w:val="clear" w:color="auto" w:fill="FFFFFF" w:themeFill="background1"/>
          </w:tcPr>
          <w:p w14:paraId="67CD0454"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c>
          <w:tcPr>
            <w:tcW w:w="1800" w:type="dxa"/>
            <w:shd w:val="clear" w:color="auto" w:fill="FFFFFF" w:themeFill="background1"/>
          </w:tcPr>
          <w:p w14:paraId="3F2BEE2C"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30%</w:t>
            </w:r>
          </w:p>
        </w:tc>
      </w:tr>
      <w:tr w:rsidR="006F6A75" w:rsidRPr="00F46D57" w14:paraId="11D20343" w14:textId="77777777" w:rsidTr="00F64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Borders>
              <w:top w:val="none" w:sz="0" w:space="0" w:color="auto"/>
              <w:left w:val="none" w:sz="0" w:space="0" w:color="auto"/>
              <w:bottom w:val="none" w:sz="0" w:space="0" w:color="auto"/>
            </w:tcBorders>
            <w:shd w:val="clear" w:color="auto" w:fill="FFFFFF" w:themeFill="background1"/>
          </w:tcPr>
          <w:p w14:paraId="6BCF36FF" w14:textId="77777777" w:rsidR="006F6A75" w:rsidRPr="003B1178" w:rsidRDefault="006F6A75" w:rsidP="005403E3">
            <w:pPr>
              <w:rPr>
                <w:rFonts w:ascii="Browallia New" w:hAnsi="Browallia New" w:cs="Browallia New"/>
              </w:rPr>
            </w:pPr>
            <w:r w:rsidRPr="003B1178">
              <w:rPr>
                <w:rFonts w:ascii="Browallia New" w:hAnsi="Browallia New" w:cs="Browallia New"/>
              </w:rPr>
              <w:t>Lack of board or senior executive ERM leadership</w:t>
            </w:r>
          </w:p>
        </w:tc>
        <w:tc>
          <w:tcPr>
            <w:tcW w:w="1850" w:type="dxa"/>
            <w:tcBorders>
              <w:top w:val="none" w:sz="0" w:space="0" w:color="auto"/>
              <w:bottom w:val="none" w:sz="0" w:space="0" w:color="auto"/>
            </w:tcBorders>
            <w:shd w:val="clear" w:color="auto" w:fill="FFFFFF" w:themeFill="background1"/>
          </w:tcPr>
          <w:p w14:paraId="077DD3F2" w14:textId="77777777" w:rsidR="006F6A75" w:rsidRPr="003B1178" w:rsidRDefault="007E7426"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18%</w:t>
            </w:r>
          </w:p>
        </w:tc>
        <w:tc>
          <w:tcPr>
            <w:tcW w:w="1757" w:type="dxa"/>
            <w:tcBorders>
              <w:top w:val="none" w:sz="0" w:space="0" w:color="auto"/>
              <w:bottom w:val="none" w:sz="0" w:space="0" w:color="auto"/>
            </w:tcBorders>
            <w:shd w:val="clear" w:color="auto" w:fill="FFFFFF" w:themeFill="background1"/>
          </w:tcPr>
          <w:p w14:paraId="01388F69" w14:textId="77777777" w:rsidR="006F6A75" w:rsidRPr="003B1178" w:rsidRDefault="007E7426"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11%</w:t>
            </w:r>
          </w:p>
        </w:tc>
        <w:tc>
          <w:tcPr>
            <w:tcW w:w="1800" w:type="dxa"/>
            <w:tcBorders>
              <w:top w:val="none" w:sz="0" w:space="0" w:color="auto"/>
              <w:bottom w:val="none" w:sz="0" w:space="0" w:color="auto"/>
              <w:right w:val="none" w:sz="0" w:space="0" w:color="auto"/>
            </w:tcBorders>
            <w:shd w:val="clear" w:color="auto" w:fill="FFFFFF" w:themeFill="background1"/>
          </w:tcPr>
          <w:p w14:paraId="71E24DDD" w14:textId="77777777" w:rsidR="006F6A75" w:rsidRPr="003B1178" w:rsidRDefault="007E7426" w:rsidP="005403E3">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29%</w:t>
            </w:r>
          </w:p>
        </w:tc>
      </w:tr>
      <w:tr w:rsidR="006F6A75" w:rsidRPr="00F46D57" w14:paraId="01995530" w14:textId="77777777" w:rsidTr="00F6494D">
        <w:tc>
          <w:tcPr>
            <w:cnfStyle w:val="001000000000" w:firstRow="0" w:lastRow="0" w:firstColumn="1" w:lastColumn="0" w:oddVBand="0" w:evenVBand="0" w:oddHBand="0" w:evenHBand="0" w:firstRowFirstColumn="0" w:firstRowLastColumn="0" w:lastRowFirstColumn="0" w:lastRowLastColumn="0"/>
            <w:tcW w:w="3953" w:type="dxa"/>
            <w:shd w:val="clear" w:color="auto" w:fill="FFFFFF" w:themeFill="background1"/>
          </w:tcPr>
          <w:p w14:paraId="40D3D69D" w14:textId="77777777" w:rsidR="006F6A75" w:rsidRPr="003B1178" w:rsidRDefault="006F6A75" w:rsidP="006F6A75">
            <w:pPr>
              <w:jc w:val="both"/>
              <w:rPr>
                <w:rFonts w:ascii="Browallia New" w:hAnsi="Browallia New" w:cs="Browallia New"/>
              </w:rPr>
            </w:pPr>
            <w:r w:rsidRPr="003B1178">
              <w:rPr>
                <w:rFonts w:ascii="Browallia New" w:hAnsi="Browallia New" w:cs="Browallia New"/>
              </w:rPr>
              <w:t>Legal or regulatory barriers</w:t>
            </w:r>
          </w:p>
        </w:tc>
        <w:tc>
          <w:tcPr>
            <w:tcW w:w="1850" w:type="dxa"/>
            <w:shd w:val="clear" w:color="auto" w:fill="FFFFFF" w:themeFill="background1"/>
          </w:tcPr>
          <w:p w14:paraId="19DD247F"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4%</w:t>
            </w:r>
          </w:p>
        </w:tc>
        <w:tc>
          <w:tcPr>
            <w:tcW w:w="1757" w:type="dxa"/>
            <w:shd w:val="clear" w:color="auto" w:fill="FFFFFF" w:themeFill="background1"/>
          </w:tcPr>
          <w:p w14:paraId="53CDDF59"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2%</w:t>
            </w:r>
          </w:p>
        </w:tc>
        <w:tc>
          <w:tcPr>
            <w:tcW w:w="1800" w:type="dxa"/>
            <w:shd w:val="clear" w:color="auto" w:fill="FFFFFF" w:themeFill="background1"/>
          </w:tcPr>
          <w:p w14:paraId="1BFE308D" w14:textId="77777777" w:rsidR="006F6A75" w:rsidRPr="003B1178" w:rsidRDefault="007E7426" w:rsidP="005403E3">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rPr>
            </w:pPr>
            <w:r w:rsidRPr="003B1178">
              <w:rPr>
                <w:rFonts w:ascii="Browallia New" w:hAnsi="Browallia New" w:cs="Browallia New"/>
                <w:b/>
              </w:rPr>
              <w:t>6%</w:t>
            </w:r>
          </w:p>
        </w:tc>
      </w:tr>
    </w:tbl>
    <w:p w14:paraId="7265BC3F" w14:textId="77777777" w:rsidR="006F6A75" w:rsidRPr="00F46D57" w:rsidRDefault="006F6A75" w:rsidP="006F6A75">
      <w:pPr>
        <w:jc w:val="both"/>
        <w:rPr>
          <w:rFonts w:ascii="Browallia New" w:hAnsi="Browallia New" w:cs="Browallia New"/>
        </w:rPr>
      </w:pPr>
    </w:p>
    <w:p w14:paraId="43F3A45D" w14:textId="77777777" w:rsidR="00147774" w:rsidRPr="00775C92" w:rsidRDefault="006F6A75" w:rsidP="00775C92">
      <w:pPr>
        <w:spacing w:line="204" w:lineRule="auto"/>
        <w:jc w:val="both"/>
        <w:rPr>
          <w:rFonts w:ascii="Browallia New" w:hAnsi="Browallia New" w:cs="Browallia New"/>
          <w:sz w:val="28"/>
          <w:szCs w:val="28"/>
        </w:rPr>
      </w:pPr>
      <w:r w:rsidRPr="00775C92">
        <w:rPr>
          <w:rFonts w:ascii="Browallia New" w:hAnsi="Browallia New" w:cs="Browallia New"/>
          <w:sz w:val="28"/>
          <w:szCs w:val="28"/>
        </w:rPr>
        <w:t xml:space="preserve">Most </w:t>
      </w:r>
      <w:r w:rsidRPr="004F325F">
        <w:rPr>
          <w:rFonts w:ascii="Browallia New" w:hAnsi="Browallia New" w:cs="Browallia New"/>
          <w:sz w:val="28"/>
          <w:szCs w:val="28"/>
        </w:rPr>
        <w:t>organizations (</w:t>
      </w:r>
      <w:r w:rsidR="00012907" w:rsidRPr="004F325F">
        <w:rPr>
          <w:rFonts w:ascii="Browallia New" w:hAnsi="Browallia New" w:cs="Browallia New"/>
          <w:sz w:val="28"/>
          <w:szCs w:val="28"/>
        </w:rPr>
        <w:t>5</w:t>
      </w:r>
      <w:r w:rsidR="004F325F" w:rsidRPr="004F325F">
        <w:rPr>
          <w:rFonts w:ascii="Browallia New" w:hAnsi="Browallia New" w:cs="Browallia New"/>
          <w:sz w:val="28"/>
          <w:szCs w:val="28"/>
        </w:rPr>
        <w:t>7</w:t>
      </w:r>
      <w:r w:rsidRPr="004F325F">
        <w:rPr>
          <w:rFonts w:ascii="Browallia New" w:hAnsi="Browallia New" w:cs="Browallia New"/>
          <w:sz w:val="28"/>
          <w:szCs w:val="28"/>
        </w:rPr>
        <w:t>%) have not provided or only minimally provided training and guidance on risk management in the past two years for senior executives or key business unit leaders. This is s</w:t>
      </w:r>
      <w:r w:rsidR="00012907" w:rsidRPr="004F325F">
        <w:rPr>
          <w:rFonts w:ascii="Browallia New" w:hAnsi="Browallia New" w:cs="Browallia New"/>
          <w:sz w:val="28"/>
          <w:szCs w:val="28"/>
        </w:rPr>
        <w:t>lightly lower</w:t>
      </w:r>
      <w:r w:rsidRPr="004F325F">
        <w:rPr>
          <w:rFonts w:ascii="Browallia New" w:hAnsi="Browallia New" w:cs="Browallia New"/>
          <w:sz w:val="28"/>
          <w:szCs w:val="28"/>
        </w:rPr>
        <w:t xml:space="preserve"> for the largest organizations (</w:t>
      </w:r>
      <w:r w:rsidR="004F325F" w:rsidRPr="004F325F">
        <w:rPr>
          <w:rFonts w:ascii="Browallia New" w:hAnsi="Browallia New" w:cs="Browallia New"/>
          <w:sz w:val="28"/>
          <w:szCs w:val="28"/>
        </w:rPr>
        <w:t>53</w:t>
      </w:r>
      <w:r w:rsidRPr="004F325F">
        <w:rPr>
          <w:rFonts w:ascii="Browallia New" w:hAnsi="Browallia New" w:cs="Browallia New"/>
          <w:sz w:val="28"/>
          <w:szCs w:val="28"/>
        </w:rPr>
        <w:t xml:space="preserve">%), public companies </w:t>
      </w:r>
      <w:r w:rsidR="004F59BB" w:rsidRPr="004F325F">
        <w:rPr>
          <w:rFonts w:ascii="Browallia New" w:hAnsi="Browallia New" w:cs="Browallia New"/>
          <w:sz w:val="28"/>
          <w:szCs w:val="28"/>
        </w:rPr>
        <w:t>(</w:t>
      </w:r>
      <w:r w:rsidR="00012907" w:rsidRPr="004F325F">
        <w:rPr>
          <w:rFonts w:ascii="Browallia New" w:hAnsi="Browallia New" w:cs="Browallia New"/>
          <w:sz w:val="28"/>
          <w:szCs w:val="28"/>
        </w:rPr>
        <w:t>4</w:t>
      </w:r>
      <w:r w:rsidR="004F325F" w:rsidRPr="004F325F">
        <w:rPr>
          <w:rFonts w:ascii="Browallia New" w:hAnsi="Browallia New" w:cs="Browallia New"/>
          <w:sz w:val="28"/>
          <w:szCs w:val="28"/>
        </w:rPr>
        <w:t>4</w:t>
      </w:r>
      <w:r w:rsidRPr="004F325F">
        <w:rPr>
          <w:rFonts w:ascii="Browallia New" w:hAnsi="Browallia New" w:cs="Browallia New"/>
          <w:sz w:val="28"/>
          <w:szCs w:val="28"/>
        </w:rPr>
        <w:t>%), and financial services (</w:t>
      </w:r>
      <w:r w:rsidR="00012907" w:rsidRPr="004F325F">
        <w:rPr>
          <w:rFonts w:ascii="Browallia New" w:hAnsi="Browallia New" w:cs="Browallia New"/>
          <w:sz w:val="28"/>
          <w:szCs w:val="28"/>
        </w:rPr>
        <w:t>41</w:t>
      </w:r>
      <w:r w:rsidRPr="004F325F">
        <w:rPr>
          <w:rFonts w:ascii="Browallia New" w:hAnsi="Browallia New" w:cs="Browallia New"/>
          <w:sz w:val="28"/>
          <w:szCs w:val="28"/>
        </w:rPr>
        <w:t xml:space="preserve">%). Thus, while improvements have been made in the </w:t>
      </w:r>
      <w:proofErr w:type="gramStart"/>
      <w:r w:rsidRPr="004F325F">
        <w:rPr>
          <w:rFonts w:ascii="Browallia New" w:hAnsi="Browallia New" w:cs="Browallia New"/>
          <w:sz w:val="28"/>
          <w:szCs w:val="28"/>
        </w:rPr>
        <w:t>manner in which</w:t>
      </w:r>
      <w:proofErr w:type="gramEnd"/>
      <w:r w:rsidRPr="004F325F">
        <w:rPr>
          <w:rFonts w:ascii="Browallia New" w:hAnsi="Browallia New" w:cs="Browallia New"/>
          <w:sz w:val="28"/>
          <w:szCs w:val="28"/>
        </w:rPr>
        <w:t xml:space="preserve"> organizations oversee their enterprise-wide risks, the lack of robustness in general may be due to a lack of understanding of the key components of an effective enterprise-wide approach to risk oversight that some basic training and education might provide.</w:t>
      </w:r>
    </w:p>
    <w:p w14:paraId="74F56351" w14:textId="77777777" w:rsidR="002F2BDF" w:rsidRPr="00F46D57" w:rsidRDefault="002F2BDF">
      <w:pPr>
        <w:rPr>
          <w:rFonts w:ascii="Browallia New" w:hAnsi="Browallia New" w:cs="Browallia New"/>
          <w:color w:val="3891A7" w:themeColor="accent1"/>
          <w:sz w:val="36"/>
          <w:szCs w:val="36"/>
        </w:rPr>
      </w:pPr>
      <w:r w:rsidRPr="00F46D57">
        <w:rPr>
          <w:rFonts w:ascii="Browallia New" w:hAnsi="Browallia New" w:cs="Browallia New"/>
          <w:color w:val="3891A7" w:themeColor="accent1"/>
          <w:sz w:val="36"/>
          <w:szCs w:val="36"/>
        </w:rPr>
        <w:br w:type="page"/>
      </w:r>
    </w:p>
    <w:p w14:paraId="04F00AF9" w14:textId="77777777" w:rsidR="005148A9" w:rsidRPr="006A1779" w:rsidRDefault="00367057" w:rsidP="00E12ABA">
      <w:pPr>
        <w:shd w:val="clear" w:color="auto" w:fill="0070C0"/>
        <w:jc w:val="both"/>
        <w:rPr>
          <w:rFonts w:ascii="Browallia New" w:hAnsi="Browallia New" w:cs="Browallia New"/>
          <w:b/>
          <w:color w:val="FFFFFF" w:themeColor="background1"/>
          <w:sz w:val="36"/>
          <w:szCs w:val="36"/>
        </w:rPr>
      </w:pPr>
      <w:r>
        <w:rPr>
          <w:rFonts w:ascii="Browallia New" w:hAnsi="Browallia New" w:cs="Browallia New"/>
          <w:b/>
          <w:color w:val="FFFFFF" w:themeColor="background1"/>
          <w:sz w:val="36"/>
          <w:szCs w:val="36"/>
        </w:rPr>
        <w:lastRenderedPageBreak/>
        <w:t>CALLS TO ACTION</w:t>
      </w:r>
    </w:p>
    <w:p w14:paraId="07E19F58" w14:textId="77777777" w:rsidR="00D47837" w:rsidRDefault="00D47837" w:rsidP="00556EBB">
      <w:pPr>
        <w:spacing w:line="204" w:lineRule="auto"/>
        <w:jc w:val="both"/>
        <w:rPr>
          <w:rFonts w:ascii="Browallia New" w:hAnsi="Browallia New" w:cs="Browallia New"/>
          <w:sz w:val="28"/>
          <w:szCs w:val="28"/>
        </w:rPr>
      </w:pPr>
      <w:r>
        <w:rPr>
          <w:rFonts w:ascii="Browallia New" w:hAnsi="Browallia New" w:cs="Browallia New"/>
          <w:sz w:val="28"/>
          <w:szCs w:val="28"/>
        </w:rPr>
        <w:t xml:space="preserve">The environment in which organizations operate contains </w:t>
      </w:r>
      <w:proofErr w:type="gramStart"/>
      <w:r>
        <w:rPr>
          <w:rFonts w:ascii="Browallia New" w:hAnsi="Browallia New" w:cs="Browallia New"/>
          <w:sz w:val="28"/>
          <w:szCs w:val="28"/>
        </w:rPr>
        <w:t>a number of</w:t>
      </w:r>
      <w:proofErr w:type="gramEnd"/>
      <w:r>
        <w:rPr>
          <w:rFonts w:ascii="Browallia New" w:hAnsi="Browallia New" w:cs="Browallia New"/>
          <w:sz w:val="28"/>
          <w:szCs w:val="28"/>
        </w:rPr>
        <w:t xml:space="preserve"> complex issues that boards of directors and management must navigate. Geopolitical events, innovation, technological advancements, immigration</w:t>
      </w:r>
      <w:r w:rsidR="008D47F6">
        <w:rPr>
          <w:rFonts w:ascii="Browallia New" w:hAnsi="Browallia New" w:cs="Browallia New"/>
          <w:sz w:val="28"/>
          <w:szCs w:val="28"/>
        </w:rPr>
        <w:t xml:space="preserve"> policy issues</w:t>
      </w:r>
      <w:r>
        <w:rPr>
          <w:rFonts w:ascii="Browallia New" w:hAnsi="Browallia New" w:cs="Browallia New"/>
          <w:sz w:val="28"/>
          <w:szCs w:val="28"/>
        </w:rPr>
        <w:t xml:space="preserve">, tax law changes, shifts in social demographics and consumer tastes, cyber threats, low interest rates and unemployment, are just a few of the complex issues that may trigger opportunities or risks for an enterprise. Most believe the pace of change </w:t>
      </w:r>
      <w:r w:rsidR="008D47F6">
        <w:rPr>
          <w:rFonts w:ascii="Browallia New" w:hAnsi="Browallia New" w:cs="Browallia New"/>
          <w:sz w:val="28"/>
          <w:szCs w:val="28"/>
        </w:rPr>
        <w:t xml:space="preserve">in these drivers will only increase. </w:t>
      </w:r>
      <w:r>
        <w:rPr>
          <w:rFonts w:ascii="Browallia New" w:hAnsi="Browallia New" w:cs="Browallia New"/>
          <w:sz w:val="28"/>
          <w:szCs w:val="28"/>
        </w:rPr>
        <w:t xml:space="preserve">If organizations are not prepared to navigate this rapidly escalating volume and complexity of risks, they may lack the resiliency and agility </w:t>
      </w:r>
      <w:r w:rsidR="008D47F6">
        <w:rPr>
          <w:rFonts w:ascii="Browallia New" w:hAnsi="Browallia New" w:cs="Browallia New"/>
          <w:sz w:val="28"/>
          <w:szCs w:val="28"/>
        </w:rPr>
        <w:t xml:space="preserve">needed </w:t>
      </w:r>
      <w:r>
        <w:rPr>
          <w:rFonts w:ascii="Browallia New" w:hAnsi="Browallia New" w:cs="Browallia New"/>
          <w:sz w:val="28"/>
          <w:szCs w:val="28"/>
        </w:rPr>
        <w:t xml:space="preserve">to </w:t>
      </w:r>
      <w:r w:rsidR="008D47F6">
        <w:rPr>
          <w:rFonts w:ascii="Browallia New" w:hAnsi="Browallia New" w:cs="Browallia New"/>
          <w:sz w:val="28"/>
          <w:szCs w:val="28"/>
        </w:rPr>
        <w:t xml:space="preserve">successfully </w:t>
      </w:r>
      <w:r>
        <w:rPr>
          <w:rFonts w:ascii="Browallia New" w:hAnsi="Browallia New" w:cs="Browallia New"/>
          <w:sz w:val="28"/>
          <w:szCs w:val="28"/>
        </w:rPr>
        <w:t xml:space="preserve">survive in the highly competitive </w:t>
      </w:r>
      <w:r w:rsidR="008D47F6">
        <w:rPr>
          <w:rFonts w:ascii="Browallia New" w:hAnsi="Browallia New" w:cs="Browallia New"/>
          <w:sz w:val="28"/>
          <w:szCs w:val="28"/>
        </w:rPr>
        <w:t xml:space="preserve">global </w:t>
      </w:r>
      <w:r>
        <w:rPr>
          <w:rFonts w:ascii="Browallia New" w:hAnsi="Browallia New" w:cs="Browallia New"/>
          <w:sz w:val="28"/>
          <w:szCs w:val="28"/>
        </w:rPr>
        <w:t>business environment.</w:t>
      </w:r>
    </w:p>
    <w:p w14:paraId="75AA9EE0" w14:textId="77777777" w:rsidR="00353BB4" w:rsidRDefault="00D47837" w:rsidP="00556EBB">
      <w:pPr>
        <w:spacing w:line="204" w:lineRule="auto"/>
        <w:jc w:val="both"/>
        <w:rPr>
          <w:rFonts w:ascii="Browallia New" w:hAnsi="Browallia New" w:cs="Browallia New"/>
          <w:sz w:val="28"/>
          <w:szCs w:val="28"/>
        </w:rPr>
      </w:pPr>
      <w:r>
        <w:rPr>
          <w:rFonts w:ascii="Browallia New" w:hAnsi="Browallia New" w:cs="Browallia New"/>
          <w:sz w:val="28"/>
          <w:szCs w:val="28"/>
        </w:rPr>
        <w:t xml:space="preserve">While the findings in this study indicate some slowly progressing improvements in how organizations are proactively managing risks on the horizon, many of the findings </w:t>
      </w:r>
      <w:r w:rsidR="00353BB4">
        <w:rPr>
          <w:rFonts w:ascii="Browallia New" w:hAnsi="Browallia New" w:cs="Browallia New"/>
          <w:sz w:val="28"/>
          <w:szCs w:val="28"/>
        </w:rPr>
        <w:t xml:space="preserve">suggest boards of directors and management </w:t>
      </w:r>
      <w:r w:rsidR="00824B3D">
        <w:rPr>
          <w:rFonts w:ascii="Browallia New" w:hAnsi="Browallia New" w:cs="Browallia New"/>
          <w:sz w:val="28"/>
          <w:szCs w:val="28"/>
        </w:rPr>
        <w:t xml:space="preserve">should consider </w:t>
      </w:r>
      <w:r w:rsidR="00353BB4">
        <w:rPr>
          <w:rFonts w:ascii="Browallia New" w:hAnsi="Browallia New" w:cs="Browallia New"/>
          <w:sz w:val="28"/>
          <w:szCs w:val="28"/>
        </w:rPr>
        <w:t>more aggressive action to ramp up their organization’s infrastructure surrounding risk oversight:</w:t>
      </w:r>
    </w:p>
    <w:p w14:paraId="2D9DE226" w14:textId="77777777" w:rsidR="00353BB4" w:rsidRDefault="001C3771" w:rsidP="001C3771">
      <w:pPr>
        <w:pStyle w:val="ListParagraph"/>
        <w:numPr>
          <w:ilvl w:val="0"/>
          <w:numId w:val="46"/>
        </w:numPr>
        <w:spacing w:line="204" w:lineRule="auto"/>
        <w:jc w:val="both"/>
        <w:rPr>
          <w:rFonts w:ascii="Browallia New" w:hAnsi="Browallia New" w:cs="Browallia New"/>
          <w:sz w:val="28"/>
          <w:szCs w:val="28"/>
        </w:rPr>
      </w:pPr>
      <w:r w:rsidRPr="003B1178">
        <w:rPr>
          <w:rFonts w:ascii="Browallia New" w:hAnsi="Browallia New" w:cs="Browallia New"/>
          <w:b/>
          <w:sz w:val="28"/>
          <w:szCs w:val="28"/>
        </w:rPr>
        <w:t xml:space="preserve">Be honest about the organization’s risk management capabilities. </w:t>
      </w:r>
      <w:r w:rsidR="00353BB4">
        <w:rPr>
          <w:rFonts w:ascii="Browallia New" w:hAnsi="Browallia New" w:cs="Browallia New"/>
          <w:sz w:val="28"/>
          <w:szCs w:val="28"/>
        </w:rPr>
        <w:t xml:space="preserve">Given most respondents indicate that the risk landscape is increasing </w:t>
      </w:r>
      <w:r w:rsidR="008D47F6">
        <w:rPr>
          <w:rFonts w:ascii="Browallia New" w:hAnsi="Browallia New" w:cs="Browallia New"/>
          <w:sz w:val="28"/>
          <w:szCs w:val="28"/>
        </w:rPr>
        <w:t xml:space="preserve">significantly </w:t>
      </w:r>
      <w:r w:rsidR="00353BB4">
        <w:rPr>
          <w:rFonts w:ascii="Browallia New" w:hAnsi="Browallia New" w:cs="Browallia New"/>
          <w:sz w:val="28"/>
          <w:szCs w:val="28"/>
        </w:rPr>
        <w:t xml:space="preserve">in volume and complexity, why are only one-quarter of them describing their risk management as “mature” or “robust”? </w:t>
      </w:r>
      <w:r w:rsidR="008D47F6">
        <w:rPr>
          <w:rFonts w:ascii="Browallia New" w:hAnsi="Browallia New" w:cs="Browallia New"/>
          <w:sz w:val="28"/>
          <w:szCs w:val="28"/>
        </w:rPr>
        <w:t>An organization’s l</w:t>
      </w:r>
      <w:r w:rsidR="00353BB4">
        <w:rPr>
          <w:rFonts w:ascii="Browallia New" w:hAnsi="Browallia New" w:cs="Browallia New"/>
          <w:sz w:val="28"/>
          <w:szCs w:val="28"/>
        </w:rPr>
        <w:t xml:space="preserve">eaders </w:t>
      </w:r>
      <w:r w:rsidR="00811310">
        <w:rPr>
          <w:rFonts w:ascii="Browallia New" w:hAnsi="Browallia New" w:cs="Browallia New"/>
          <w:sz w:val="28"/>
          <w:szCs w:val="28"/>
        </w:rPr>
        <w:t xml:space="preserve">may want to evaluate whether the </w:t>
      </w:r>
      <w:r w:rsidR="00353BB4">
        <w:rPr>
          <w:rFonts w:ascii="Browallia New" w:hAnsi="Browallia New" w:cs="Browallia New"/>
          <w:sz w:val="28"/>
          <w:szCs w:val="28"/>
        </w:rPr>
        <w:t xml:space="preserve">current level of </w:t>
      </w:r>
      <w:r w:rsidR="00811310">
        <w:rPr>
          <w:rFonts w:ascii="Browallia New" w:hAnsi="Browallia New" w:cs="Browallia New"/>
          <w:sz w:val="28"/>
          <w:szCs w:val="28"/>
        </w:rPr>
        <w:t xml:space="preserve">their organization’s </w:t>
      </w:r>
      <w:r w:rsidR="00353BB4">
        <w:rPr>
          <w:rFonts w:ascii="Browallia New" w:hAnsi="Browallia New" w:cs="Browallia New"/>
          <w:sz w:val="28"/>
          <w:szCs w:val="28"/>
        </w:rPr>
        <w:t xml:space="preserve">risk management maturity </w:t>
      </w:r>
      <w:proofErr w:type="gramStart"/>
      <w:r w:rsidR="00353BB4">
        <w:rPr>
          <w:rFonts w:ascii="Browallia New" w:hAnsi="Browallia New" w:cs="Browallia New"/>
          <w:sz w:val="28"/>
          <w:szCs w:val="28"/>
        </w:rPr>
        <w:t>is capable of keeping</w:t>
      </w:r>
      <w:proofErr w:type="gramEnd"/>
      <w:r w:rsidR="00353BB4">
        <w:rPr>
          <w:rFonts w:ascii="Browallia New" w:hAnsi="Browallia New" w:cs="Browallia New"/>
          <w:sz w:val="28"/>
          <w:szCs w:val="28"/>
        </w:rPr>
        <w:t xml:space="preserve"> pace</w:t>
      </w:r>
      <w:r w:rsidR="00811310">
        <w:rPr>
          <w:rFonts w:ascii="Browallia New" w:hAnsi="Browallia New" w:cs="Browallia New"/>
          <w:sz w:val="28"/>
          <w:szCs w:val="28"/>
        </w:rPr>
        <w:t xml:space="preserve"> with emerging risks</w:t>
      </w:r>
      <w:r w:rsidR="00353BB4">
        <w:rPr>
          <w:rFonts w:ascii="Browallia New" w:hAnsi="Browallia New" w:cs="Browallia New"/>
          <w:sz w:val="28"/>
          <w:szCs w:val="28"/>
        </w:rPr>
        <w:t xml:space="preserve">.  </w:t>
      </w:r>
    </w:p>
    <w:p w14:paraId="1CF99F81" w14:textId="77777777" w:rsidR="00697DCA" w:rsidRDefault="008D47F6" w:rsidP="001C3771">
      <w:pPr>
        <w:pStyle w:val="ListParagraph"/>
        <w:numPr>
          <w:ilvl w:val="0"/>
          <w:numId w:val="46"/>
        </w:numPr>
        <w:spacing w:line="204" w:lineRule="auto"/>
        <w:jc w:val="both"/>
        <w:rPr>
          <w:rFonts w:ascii="Browallia New" w:hAnsi="Browallia New" w:cs="Browallia New"/>
          <w:sz w:val="28"/>
          <w:szCs w:val="28"/>
        </w:rPr>
      </w:pPr>
      <w:r w:rsidRPr="003B1178">
        <w:rPr>
          <w:rFonts w:ascii="Browallia New" w:hAnsi="Browallia New" w:cs="Browallia New"/>
          <w:b/>
          <w:sz w:val="28"/>
          <w:szCs w:val="28"/>
        </w:rPr>
        <w:t>Find ways to connect risk management and strategic planning.</w:t>
      </w:r>
      <w:r w:rsidRPr="008D47F6">
        <w:rPr>
          <w:rFonts w:ascii="Browallia New" w:hAnsi="Browallia New" w:cs="Browallia New"/>
          <w:color w:val="C48B01" w:themeColor="accent2" w:themeShade="BF"/>
          <w:sz w:val="28"/>
          <w:szCs w:val="28"/>
        </w:rPr>
        <w:t xml:space="preserve"> </w:t>
      </w:r>
      <w:r w:rsidR="00353BB4">
        <w:rPr>
          <w:rFonts w:ascii="Browallia New" w:hAnsi="Browallia New" w:cs="Browallia New"/>
          <w:sz w:val="28"/>
          <w:szCs w:val="28"/>
        </w:rPr>
        <w:t xml:space="preserve">Business leaders </w:t>
      </w:r>
      <w:r w:rsidR="00811310">
        <w:rPr>
          <w:rFonts w:ascii="Browallia New" w:hAnsi="Browallia New" w:cs="Browallia New"/>
          <w:sz w:val="28"/>
          <w:szCs w:val="28"/>
        </w:rPr>
        <w:t>understand</w:t>
      </w:r>
      <w:r w:rsidR="00353BB4">
        <w:rPr>
          <w:rFonts w:ascii="Browallia New" w:hAnsi="Browallia New" w:cs="Browallia New"/>
          <w:sz w:val="28"/>
          <w:szCs w:val="28"/>
        </w:rPr>
        <w:t xml:space="preserve"> that as they seek to generate a higher return, they must be willing to take more risks. However, a small percentage of respondents </w:t>
      </w:r>
      <w:r w:rsidR="00811310">
        <w:rPr>
          <w:rFonts w:ascii="Browallia New" w:hAnsi="Browallia New" w:cs="Browallia New"/>
          <w:sz w:val="28"/>
          <w:szCs w:val="28"/>
        </w:rPr>
        <w:t>believe their organizations’ risk management process i</w:t>
      </w:r>
      <w:r w:rsidR="00697DCA">
        <w:rPr>
          <w:rFonts w:ascii="Browallia New" w:hAnsi="Browallia New" w:cs="Browallia New"/>
          <w:sz w:val="28"/>
          <w:szCs w:val="28"/>
        </w:rPr>
        <w:t>s providing strategic value. This may be due to the finding that less than half of the organizations formally consider existing risk exposures when evaluating new possible strategic opportunities and less than one-third of the organizations have their boards of directors formally discuss risk exposures when they discuss the strategic plan. Boards and management may want to consider how they can more explicitly integrate their risk management efforts with their strategic planning efforts.</w:t>
      </w:r>
      <w:r>
        <w:rPr>
          <w:rFonts w:ascii="Browallia New" w:hAnsi="Browallia New" w:cs="Browallia New"/>
          <w:sz w:val="28"/>
          <w:szCs w:val="28"/>
        </w:rPr>
        <w:t xml:space="preserve"> Doing so may help leaders see the strategic value and power of having better intelligence about risks on the horizon.</w:t>
      </w:r>
    </w:p>
    <w:p w14:paraId="2F68C738" w14:textId="77777777" w:rsidR="00697DCA" w:rsidRDefault="008D47F6" w:rsidP="001C3771">
      <w:pPr>
        <w:pStyle w:val="ListParagraph"/>
        <w:numPr>
          <w:ilvl w:val="0"/>
          <w:numId w:val="46"/>
        </w:numPr>
        <w:spacing w:line="204" w:lineRule="auto"/>
        <w:jc w:val="both"/>
        <w:rPr>
          <w:rFonts w:ascii="Browallia New" w:hAnsi="Browallia New" w:cs="Browallia New"/>
          <w:sz w:val="28"/>
          <w:szCs w:val="28"/>
        </w:rPr>
      </w:pPr>
      <w:r w:rsidRPr="003B1178">
        <w:rPr>
          <w:rFonts w:ascii="Browallia New" w:hAnsi="Browallia New" w:cs="Browallia New"/>
          <w:b/>
          <w:sz w:val="28"/>
          <w:szCs w:val="28"/>
        </w:rPr>
        <w:t>Challenge the basis for identifying risk information reported to boards and others.</w:t>
      </w:r>
      <w:r w:rsidRPr="008D47F6">
        <w:rPr>
          <w:rFonts w:ascii="Browallia New" w:hAnsi="Browallia New" w:cs="Browallia New"/>
          <w:color w:val="C48B01" w:themeColor="accent2" w:themeShade="BF"/>
          <w:sz w:val="28"/>
          <w:szCs w:val="28"/>
        </w:rPr>
        <w:t xml:space="preserve"> </w:t>
      </w:r>
      <w:r w:rsidR="00697DCA">
        <w:rPr>
          <w:rFonts w:ascii="Browallia New" w:hAnsi="Browallia New" w:cs="Browallia New"/>
          <w:sz w:val="28"/>
          <w:szCs w:val="28"/>
        </w:rPr>
        <w:t>While almost 60% of organizations provide a formal report to the board describing top risk exposures at least annually</w:t>
      </w:r>
      <w:r>
        <w:rPr>
          <w:rFonts w:ascii="Browallia New" w:hAnsi="Browallia New" w:cs="Browallia New"/>
          <w:sz w:val="28"/>
          <w:szCs w:val="28"/>
        </w:rPr>
        <w:t>,</w:t>
      </w:r>
      <w:r w:rsidR="00697DCA">
        <w:rPr>
          <w:rFonts w:ascii="Browallia New" w:hAnsi="Browallia New" w:cs="Browallia New"/>
          <w:sz w:val="28"/>
          <w:szCs w:val="28"/>
        </w:rPr>
        <w:t xml:space="preserve"> only 43% of those organizations maintain risk inventories at the enterprise level. If management is not maintaining an inventory of its top enterprise-level risks, what is the basis for their formal report </w:t>
      </w:r>
      <w:r>
        <w:rPr>
          <w:rFonts w:ascii="Browallia New" w:hAnsi="Browallia New" w:cs="Browallia New"/>
          <w:sz w:val="28"/>
          <w:szCs w:val="28"/>
        </w:rPr>
        <w:t xml:space="preserve">about risks provided </w:t>
      </w:r>
      <w:r w:rsidR="00697DCA">
        <w:rPr>
          <w:rFonts w:ascii="Browallia New" w:hAnsi="Browallia New" w:cs="Browallia New"/>
          <w:sz w:val="28"/>
          <w:szCs w:val="28"/>
        </w:rPr>
        <w:t>to the board? Boards of directors may want to inquire of management about the processes that management has in place to prepare the top risk report for the board.</w:t>
      </w:r>
      <w:r>
        <w:rPr>
          <w:rFonts w:ascii="Browallia New" w:hAnsi="Browallia New" w:cs="Browallia New"/>
          <w:sz w:val="28"/>
          <w:szCs w:val="28"/>
        </w:rPr>
        <w:t xml:space="preserve"> Is there sufficient basis for the information provided?</w:t>
      </w:r>
    </w:p>
    <w:p w14:paraId="61AF8163" w14:textId="77777777" w:rsidR="00D8708B" w:rsidRDefault="008D47F6" w:rsidP="001C3771">
      <w:pPr>
        <w:pStyle w:val="ListParagraph"/>
        <w:numPr>
          <w:ilvl w:val="0"/>
          <w:numId w:val="46"/>
        </w:numPr>
        <w:spacing w:line="204" w:lineRule="auto"/>
        <w:jc w:val="both"/>
        <w:rPr>
          <w:rFonts w:ascii="Browallia New" w:hAnsi="Browallia New" w:cs="Browallia New"/>
          <w:sz w:val="28"/>
          <w:szCs w:val="28"/>
        </w:rPr>
      </w:pPr>
      <w:r w:rsidRPr="003B1178">
        <w:rPr>
          <w:rFonts w:ascii="Browallia New" w:hAnsi="Browallia New" w:cs="Browallia New"/>
          <w:b/>
          <w:sz w:val="28"/>
          <w:szCs w:val="28"/>
        </w:rPr>
        <w:t>Expand management dashboards to include risk indicators.</w:t>
      </w:r>
      <w:r w:rsidRPr="008D47F6">
        <w:rPr>
          <w:rFonts w:ascii="Browallia New" w:hAnsi="Browallia New" w:cs="Browallia New"/>
          <w:color w:val="C48B01" w:themeColor="accent2" w:themeShade="BF"/>
          <w:sz w:val="28"/>
          <w:szCs w:val="28"/>
        </w:rPr>
        <w:t xml:space="preserve"> </w:t>
      </w:r>
      <w:r w:rsidR="00D8708B">
        <w:rPr>
          <w:rFonts w:ascii="Browallia New" w:hAnsi="Browallia New" w:cs="Browallia New"/>
          <w:sz w:val="28"/>
          <w:szCs w:val="28"/>
        </w:rPr>
        <w:t>Sixty percent of organizations surveyed believe the volume and complexity of risks has increased “mostly” or “extensively” in the past five years. Unfortunately, less than 30% of respondents in those organizations are “mostly satisfied” or “very satisfied” with the reporting of indicators about key risks. Boards and management teams may want to consider how they can strengthen their performance dashboards to include more indicators that are focused on emerging risks.</w:t>
      </w:r>
    </w:p>
    <w:p w14:paraId="2503AF33" w14:textId="77777777" w:rsidR="001C3771" w:rsidRDefault="008D47F6" w:rsidP="001C3771">
      <w:pPr>
        <w:pStyle w:val="ListParagraph"/>
        <w:numPr>
          <w:ilvl w:val="0"/>
          <w:numId w:val="46"/>
        </w:numPr>
        <w:spacing w:line="204" w:lineRule="auto"/>
        <w:jc w:val="both"/>
        <w:rPr>
          <w:rFonts w:ascii="Browallia New" w:hAnsi="Browallia New" w:cs="Browallia New"/>
          <w:sz w:val="28"/>
          <w:szCs w:val="28"/>
        </w:rPr>
      </w:pPr>
      <w:r w:rsidRPr="003B1178">
        <w:rPr>
          <w:rFonts w:ascii="Browallia New" w:hAnsi="Browallia New" w:cs="Browallia New"/>
          <w:b/>
          <w:sz w:val="28"/>
          <w:szCs w:val="28"/>
        </w:rPr>
        <w:t>Find ways to incentivize management to invest in risk management.</w:t>
      </w:r>
      <w:r w:rsidRPr="008D47F6">
        <w:rPr>
          <w:rFonts w:ascii="Browallia New" w:hAnsi="Browallia New" w:cs="Browallia New"/>
          <w:color w:val="C48B01" w:themeColor="accent2" w:themeShade="BF"/>
          <w:sz w:val="28"/>
          <w:szCs w:val="28"/>
        </w:rPr>
        <w:t xml:space="preserve"> </w:t>
      </w:r>
      <w:r w:rsidR="00D8708B">
        <w:rPr>
          <w:rFonts w:ascii="Browallia New" w:hAnsi="Browallia New" w:cs="Browallia New"/>
          <w:sz w:val="28"/>
          <w:szCs w:val="28"/>
        </w:rPr>
        <w:t xml:space="preserve">Almost two-thirds of </w:t>
      </w:r>
      <w:proofErr w:type="gramStart"/>
      <w:r w:rsidR="00D8708B">
        <w:rPr>
          <w:rFonts w:ascii="Browallia New" w:hAnsi="Browallia New" w:cs="Browallia New"/>
          <w:sz w:val="28"/>
          <w:szCs w:val="28"/>
        </w:rPr>
        <w:t>respondents in organizations</w:t>
      </w:r>
      <w:proofErr w:type="gramEnd"/>
      <w:r w:rsidR="00D8708B">
        <w:rPr>
          <w:rFonts w:ascii="Browallia New" w:hAnsi="Browallia New" w:cs="Browallia New"/>
          <w:sz w:val="28"/>
          <w:szCs w:val="28"/>
        </w:rPr>
        <w:t xml:space="preserve"> surveyed indicate that </w:t>
      </w:r>
      <w:proofErr w:type="gramStart"/>
      <w:r w:rsidR="00D8708B">
        <w:rPr>
          <w:rFonts w:ascii="Browallia New" w:hAnsi="Browallia New" w:cs="Browallia New"/>
          <w:sz w:val="28"/>
          <w:szCs w:val="28"/>
        </w:rPr>
        <w:t>a number of</w:t>
      </w:r>
      <w:proofErr w:type="gramEnd"/>
      <w:r w:rsidR="00D8708B">
        <w:rPr>
          <w:rFonts w:ascii="Browallia New" w:hAnsi="Browallia New" w:cs="Browallia New"/>
          <w:sz w:val="28"/>
          <w:szCs w:val="28"/>
        </w:rPr>
        <w:t xml:space="preserve"> external parties are applying pressure on senior executives to provide more information about risks affecting the organization. Typically, the board of directors is one group </w:t>
      </w:r>
      <w:r w:rsidR="00D8708B">
        <w:rPr>
          <w:rFonts w:ascii="Browallia New" w:hAnsi="Browallia New" w:cs="Browallia New"/>
          <w:sz w:val="28"/>
          <w:szCs w:val="28"/>
        </w:rPr>
        <w:lastRenderedPageBreak/>
        <w:t xml:space="preserve">that is asking for more senior management involvement in risk oversight. However, the level of risk management maturity seems to </w:t>
      </w:r>
      <w:proofErr w:type="gramStart"/>
      <w:r w:rsidR="00D8708B">
        <w:rPr>
          <w:rFonts w:ascii="Browallia New" w:hAnsi="Browallia New" w:cs="Browallia New"/>
          <w:sz w:val="28"/>
          <w:szCs w:val="28"/>
        </w:rPr>
        <w:t>be only</w:t>
      </w:r>
      <w:proofErr w:type="gramEnd"/>
      <w:r w:rsidR="00D8708B">
        <w:rPr>
          <w:rFonts w:ascii="Browallia New" w:hAnsi="Browallia New" w:cs="Browallia New"/>
          <w:sz w:val="28"/>
          <w:szCs w:val="28"/>
        </w:rPr>
        <w:t xml:space="preserve"> slowly improving. Perhaps that is </w:t>
      </w:r>
      <w:proofErr w:type="gramStart"/>
      <w:r w:rsidR="00D8708B">
        <w:rPr>
          <w:rFonts w:ascii="Browallia New" w:hAnsi="Browallia New" w:cs="Browallia New"/>
          <w:sz w:val="28"/>
          <w:szCs w:val="28"/>
        </w:rPr>
        <w:t xml:space="preserve">due to the fact </w:t>
      </w:r>
      <w:r w:rsidR="001C3771">
        <w:rPr>
          <w:rFonts w:ascii="Browallia New" w:hAnsi="Browallia New" w:cs="Browallia New"/>
          <w:sz w:val="28"/>
          <w:szCs w:val="28"/>
        </w:rPr>
        <w:t>that</w:t>
      </w:r>
      <w:proofErr w:type="gramEnd"/>
      <w:r w:rsidR="001C3771">
        <w:rPr>
          <w:rFonts w:ascii="Browallia New" w:hAnsi="Browallia New" w:cs="Browallia New"/>
          <w:sz w:val="28"/>
          <w:szCs w:val="28"/>
        </w:rPr>
        <w:t xml:space="preserve"> almost two-thirds of those organizations do not include risk management activities as a component </w:t>
      </w:r>
      <w:r w:rsidR="00A067D9">
        <w:rPr>
          <w:rFonts w:ascii="Browallia New" w:hAnsi="Browallia New" w:cs="Browallia New"/>
          <w:sz w:val="28"/>
          <w:szCs w:val="28"/>
        </w:rPr>
        <w:t>for</w:t>
      </w:r>
      <w:r w:rsidR="001C3771">
        <w:rPr>
          <w:rFonts w:ascii="Browallia New" w:hAnsi="Browallia New" w:cs="Browallia New"/>
          <w:sz w:val="28"/>
          <w:szCs w:val="28"/>
        </w:rPr>
        <w:t xml:space="preserve"> determining management’s performance compensation. Boards of directors may want to focus more attention on how they can place more accountabilities on executives for risk management responsibilities.</w:t>
      </w:r>
    </w:p>
    <w:p w14:paraId="1964F126" w14:textId="77777777" w:rsidR="00353BB4" w:rsidRDefault="008D47F6" w:rsidP="001C3771">
      <w:pPr>
        <w:pStyle w:val="ListParagraph"/>
        <w:numPr>
          <w:ilvl w:val="0"/>
          <w:numId w:val="46"/>
        </w:numPr>
        <w:spacing w:line="204" w:lineRule="auto"/>
        <w:jc w:val="both"/>
        <w:rPr>
          <w:rFonts w:ascii="Browallia New" w:hAnsi="Browallia New" w:cs="Browallia New"/>
          <w:sz w:val="28"/>
          <w:szCs w:val="28"/>
        </w:rPr>
      </w:pPr>
      <w:r w:rsidRPr="003B1178">
        <w:rPr>
          <w:rFonts w:ascii="Browallia New" w:hAnsi="Browallia New" w:cs="Browallia New"/>
          <w:b/>
          <w:sz w:val="28"/>
          <w:szCs w:val="28"/>
        </w:rPr>
        <w:t>Provid</w:t>
      </w:r>
      <w:r w:rsidR="00A067D9" w:rsidRPr="003B1178">
        <w:rPr>
          <w:rFonts w:ascii="Browallia New" w:hAnsi="Browallia New" w:cs="Browallia New"/>
          <w:b/>
          <w:sz w:val="28"/>
          <w:szCs w:val="28"/>
        </w:rPr>
        <w:t xml:space="preserve">e </w:t>
      </w:r>
      <w:r w:rsidRPr="003B1178">
        <w:rPr>
          <w:rFonts w:ascii="Browallia New" w:hAnsi="Browallia New" w:cs="Browallia New"/>
          <w:b/>
          <w:sz w:val="28"/>
          <w:szCs w:val="28"/>
        </w:rPr>
        <w:t>training and education on the value of robust, proactive risk management.</w:t>
      </w:r>
      <w:r w:rsidRPr="008D47F6">
        <w:rPr>
          <w:rFonts w:ascii="Browallia New" w:hAnsi="Browallia New" w:cs="Browallia New"/>
          <w:color w:val="C48B01" w:themeColor="accent2" w:themeShade="BF"/>
          <w:sz w:val="28"/>
          <w:szCs w:val="28"/>
        </w:rPr>
        <w:t xml:space="preserve"> </w:t>
      </w:r>
      <w:r w:rsidR="001C3771">
        <w:rPr>
          <w:rFonts w:ascii="Browallia New" w:hAnsi="Browallia New" w:cs="Browallia New"/>
          <w:sz w:val="28"/>
          <w:szCs w:val="28"/>
        </w:rPr>
        <w:t xml:space="preserve">There are </w:t>
      </w:r>
      <w:proofErr w:type="gramStart"/>
      <w:r w:rsidR="001C3771">
        <w:rPr>
          <w:rFonts w:ascii="Browallia New" w:hAnsi="Browallia New" w:cs="Browallia New"/>
          <w:sz w:val="28"/>
          <w:szCs w:val="28"/>
        </w:rPr>
        <w:t>a number of</w:t>
      </w:r>
      <w:proofErr w:type="gramEnd"/>
      <w:r w:rsidR="001C3771">
        <w:rPr>
          <w:rFonts w:ascii="Browallia New" w:hAnsi="Browallia New" w:cs="Browallia New"/>
          <w:sz w:val="28"/>
          <w:szCs w:val="28"/>
        </w:rPr>
        <w:t xml:space="preserve"> barriers that inhibit progress in risk management improvements in organization</w:t>
      </w:r>
      <w:r w:rsidR="00A067D9">
        <w:rPr>
          <w:rFonts w:ascii="Browallia New" w:hAnsi="Browallia New" w:cs="Browallia New"/>
          <w:sz w:val="28"/>
          <w:szCs w:val="28"/>
        </w:rPr>
        <w:t>s</w:t>
      </w:r>
      <w:r w:rsidR="001C3771">
        <w:rPr>
          <w:rFonts w:ascii="Browallia New" w:hAnsi="Browallia New" w:cs="Browallia New"/>
          <w:sz w:val="28"/>
          <w:szCs w:val="28"/>
        </w:rPr>
        <w:t xml:space="preserve">. Perceptions that investing in risk management is a competing priority relative to other organizational initiatives or perceptions that managing risks lacks value may signal a lack of understanding about how effective risk oversight may </w:t>
      </w:r>
      <w:proofErr w:type="gramStart"/>
      <w:r w:rsidR="001C3771">
        <w:rPr>
          <w:rFonts w:ascii="Browallia New" w:hAnsi="Browallia New" w:cs="Browallia New"/>
          <w:sz w:val="28"/>
          <w:szCs w:val="28"/>
        </w:rPr>
        <w:t>actually improve</w:t>
      </w:r>
      <w:proofErr w:type="gramEnd"/>
      <w:r w:rsidR="001C3771">
        <w:rPr>
          <w:rFonts w:ascii="Browallia New" w:hAnsi="Browallia New" w:cs="Browallia New"/>
          <w:sz w:val="28"/>
          <w:szCs w:val="28"/>
        </w:rPr>
        <w:t xml:space="preserve"> the organization’s ability to proactively and resiliently navigate emerging risks. This lack of understanding may be due to the finding that almost 60% of the organizations surveyed provide </w:t>
      </w:r>
      <w:r w:rsidR="00A067D9">
        <w:rPr>
          <w:rFonts w:ascii="Browallia New" w:hAnsi="Browallia New" w:cs="Browallia New"/>
          <w:sz w:val="28"/>
          <w:szCs w:val="28"/>
        </w:rPr>
        <w:t xml:space="preserve">no </w:t>
      </w:r>
      <w:r w:rsidR="001C3771">
        <w:rPr>
          <w:rFonts w:ascii="Browallia New" w:hAnsi="Browallia New" w:cs="Browallia New"/>
          <w:sz w:val="28"/>
          <w:szCs w:val="28"/>
        </w:rPr>
        <w:t xml:space="preserve">training and guidance on risk management. Business leaders may want to invest in fundamental training </w:t>
      </w:r>
      <w:proofErr w:type="gramStart"/>
      <w:r w:rsidR="001C3771">
        <w:rPr>
          <w:rFonts w:ascii="Browallia New" w:hAnsi="Browallia New" w:cs="Browallia New"/>
          <w:sz w:val="28"/>
          <w:szCs w:val="28"/>
        </w:rPr>
        <w:t>on</w:t>
      </w:r>
      <w:proofErr w:type="gramEnd"/>
      <w:r w:rsidR="001C3771">
        <w:rPr>
          <w:rFonts w:ascii="Browallia New" w:hAnsi="Browallia New" w:cs="Browallia New"/>
          <w:sz w:val="28"/>
          <w:szCs w:val="28"/>
        </w:rPr>
        <w:t xml:space="preserve"> the role risk management </w:t>
      </w:r>
      <w:r w:rsidR="00A067D9">
        <w:rPr>
          <w:rFonts w:ascii="Browallia New" w:hAnsi="Browallia New" w:cs="Browallia New"/>
          <w:sz w:val="28"/>
          <w:szCs w:val="28"/>
        </w:rPr>
        <w:t xml:space="preserve">can </w:t>
      </w:r>
      <w:r w:rsidR="001C3771">
        <w:rPr>
          <w:rFonts w:ascii="Browallia New" w:hAnsi="Browallia New" w:cs="Browallia New"/>
          <w:sz w:val="28"/>
          <w:szCs w:val="28"/>
        </w:rPr>
        <w:t xml:space="preserve">play in helping </w:t>
      </w:r>
      <w:r w:rsidR="00A067D9">
        <w:rPr>
          <w:rFonts w:ascii="Browallia New" w:hAnsi="Browallia New" w:cs="Browallia New"/>
          <w:sz w:val="28"/>
          <w:szCs w:val="28"/>
        </w:rPr>
        <w:t>them</w:t>
      </w:r>
      <w:r w:rsidR="001C3771">
        <w:rPr>
          <w:rFonts w:ascii="Browallia New" w:hAnsi="Browallia New" w:cs="Browallia New"/>
          <w:sz w:val="28"/>
          <w:szCs w:val="28"/>
        </w:rPr>
        <w:t xml:space="preserve"> achieve their strategic objectives.</w:t>
      </w:r>
      <w:r w:rsidR="00A067D9">
        <w:rPr>
          <w:rFonts w:ascii="Browallia New" w:hAnsi="Browallia New" w:cs="Browallia New"/>
          <w:sz w:val="28"/>
          <w:szCs w:val="28"/>
        </w:rPr>
        <w:t xml:space="preserve"> </w:t>
      </w:r>
      <w:r w:rsidR="001C3771">
        <w:rPr>
          <w:rFonts w:ascii="Browallia New" w:hAnsi="Browallia New" w:cs="Browallia New"/>
          <w:sz w:val="28"/>
          <w:szCs w:val="28"/>
        </w:rPr>
        <w:t xml:space="preserve">   </w:t>
      </w:r>
    </w:p>
    <w:p w14:paraId="50840C6E" w14:textId="77777777" w:rsidR="00353BB4" w:rsidRDefault="00353BB4" w:rsidP="00353BB4">
      <w:pPr>
        <w:pStyle w:val="ListParagraph"/>
        <w:spacing w:line="204" w:lineRule="auto"/>
        <w:jc w:val="both"/>
        <w:rPr>
          <w:rFonts w:ascii="Browallia New" w:hAnsi="Browallia New" w:cs="Browallia New"/>
          <w:sz w:val="28"/>
          <w:szCs w:val="28"/>
        </w:rPr>
      </w:pPr>
    </w:p>
    <w:p w14:paraId="74DDB8B1" w14:textId="77777777" w:rsidR="00D820AD" w:rsidRPr="00556EBB" w:rsidRDefault="00DB0E81"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There are a number of resources available to executives and boards to help them understand their responsibilities for risk oversight and effective tools and techniques to help them in those activities (see for example, the</w:t>
      </w:r>
      <w:r w:rsidR="00387366" w:rsidRPr="00556EBB">
        <w:rPr>
          <w:rFonts w:ascii="Browallia New" w:hAnsi="Browallia New" w:cs="Browallia New"/>
          <w:sz w:val="28"/>
          <w:szCs w:val="28"/>
        </w:rPr>
        <w:t xml:space="preserve"> NC State</w:t>
      </w:r>
      <w:r w:rsidRPr="00556EBB">
        <w:rPr>
          <w:rFonts w:ascii="Browallia New" w:hAnsi="Browallia New" w:cs="Browallia New"/>
          <w:sz w:val="28"/>
          <w:szCs w:val="28"/>
        </w:rPr>
        <w:t xml:space="preserve"> </w:t>
      </w:r>
      <w:hyperlink r:id="rId28" w:history="1">
        <w:r w:rsidRPr="00F02D57">
          <w:rPr>
            <w:rStyle w:val="Hyperlink"/>
            <w:rFonts w:ascii="Browallia New" w:hAnsi="Browallia New" w:cs="Browallia New"/>
            <w:sz w:val="28"/>
            <w:szCs w:val="28"/>
          </w:rPr>
          <w:t>ERM Initiative’s Web site</w:t>
        </w:r>
      </w:hyperlink>
      <w:r w:rsidRPr="00556EBB">
        <w:rPr>
          <w:rFonts w:ascii="Browallia New" w:hAnsi="Browallia New" w:cs="Browallia New"/>
          <w:sz w:val="28"/>
          <w:szCs w:val="28"/>
        </w:rPr>
        <w:t xml:space="preserve"> </w:t>
      </w:r>
      <w:r w:rsidR="00F02D57">
        <w:rPr>
          <w:rFonts w:ascii="Browallia New" w:hAnsi="Browallia New" w:cs="Browallia New"/>
          <w:sz w:val="28"/>
          <w:szCs w:val="28"/>
        </w:rPr>
        <w:t xml:space="preserve">and the </w:t>
      </w:r>
      <w:hyperlink r:id="rId29" w:history="1">
        <w:r w:rsidR="00F02D57" w:rsidRPr="00F02D57">
          <w:rPr>
            <w:rStyle w:val="Hyperlink"/>
            <w:rFonts w:ascii="Browallia New" w:hAnsi="Browallia New" w:cs="Browallia New"/>
            <w:sz w:val="28"/>
            <w:szCs w:val="28"/>
          </w:rPr>
          <w:t xml:space="preserve">AICPA’s ERM </w:t>
        </w:r>
        <w:r w:rsidR="00F02D57">
          <w:rPr>
            <w:rStyle w:val="Hyperlink"/>
            <w:rFonts w:ascii="Browallia New" w:hAnsi="Browallia New" w:cs="Browallia New"/>
            <w:sz w:val="28"/>
            <w:szCs w:val="28"/>
          </w:rPr>
          <w:t>Web site</w:t>
        </w:r>
      </w:hyperlink>
      <w:r w:rsidR="00F02D57">
        <w:rPr>
          <w:rFonts w:ascii="Browallia New" w:hAnsi="Browallia New" w:cs="Browallia New"/>
          <w:sz w:val="28"/>
          <w:szCs w:val="28"/>
        </w:rPr>
        <w:t xml:space="preserve">). As </w:t>
      </w:r>
      <w:r w:rsidRPr="00556EBB">
        <w:rPr>
          <w:rFonts w:ascii="Browallia New" w:hAnsi="Browallia New" w:cs="Browallia New"/>
          <w:sz w:val="28"/>
          <w:szCs w:val="28"/>
        </w:rPr>
        <w:t>e</w:t>
      </w:r>
      <w:r w:rsidR="005453B3" w:rsidRPr="00556EBB">
        <w:rPr>
          <w:rFonts w:ascii="Browallia New" w:hAnsi="Browallia New" w:cs="Browallia New"/>
          <w:sz w:val="28"/>
          <w:szCs w:val="28"/>
        </w:rPr>
        <w:t xml:space="preserve">xpectations for more effective enterprise-wide risk oversight </w:t>
      </w:r>
      <w:r w:rsidR="00CD2EDF" w:rsidRPr="00556EBB">
        <w:rPr>
          <w:rFonts w:ascii="Browallia New" w:hAnsi="Browallia New" w:cs="Browallia New"/>
          <w:sz w:val="28"/>
          <w:szCs w:val="28"/>
        </w:rPr>
        <w:t xml:space="preserve">continue to </w:t>
      </w:r>
      <w:r w:rsidR="005453B3" w:rsidRPr="00556EBB">
        <w:rPr>
          <w:rFonts w:ascii="Browallia New" w:hAnsi="Browallia New" w:cs="Browallia New"/>
          <w:sz w:val="28"/>
          <w:szCs w:val="28"/>
        </w:rPr>
        <w:t xml:space="preserve">unfold, it will be interesting to </w:t>
      </w:r>
      <w:r w:rsidR="005D2687" w:rsidRPr="00556EBB">
        <w:rPr>
          <w:rFonts w:ascii="Browallia New" w:hAnsi="Browallia New" w:cs="Browallia New"/>
          <w:sz w:val="28"/>
          <w:szCs w:val="28"/>
        </w:rPr>
        <w:t xml:space="preserve">continue to </w:t>
      </w:r>
      <w:r w:rsidR="005453B3" w:rsidRPr="00556EBB">
        <w:rPr>
          <w:rFonts w:ascii="Browallia New" w:hAnsi="Browallia New" w:cs="Browallia New"/>
          <w:sz w:val="28"/>
          <w:szCs w:val="28"/>
        </w:rPr>
        <w:t>track changes in risk oversight procedures over time.</w:t>
      </w:r>
    </w:p>
    <w:p w14:paraId="79034B3E" w14:textId="77777777" w:rsidR="00D820AD" w:rsidRDefault="00D820AD">
      <w:pPr>
        <w:rPr>
          <w:rFonts w:ascii="Browallia New" w:hAnsi="Browallia New" w:cs="Browallia New"/>
        </w:rPr>
      </w:pPr>
      <w:r>
        <w:rPr>
          <w:rFonts w:ascii="Browallia New" w:hAnsi="Browallia New" w:cs="Browallia New"/>
        </w:rPr>
        <w:br w:type="page"/>
      </w:r>
    </w:p>
    <w:p w14:paraId="0E6A8DED" w14:textId="77777777" w:rsidR="00D820AD" w:rsidRPr="00556EBB" w:rsidRDefault="00556EBB" w:rsidP="00E12ABA">
      <w:pPr>
        <w:shd w:val="clear" w:color="auto" w:fill="0070C0"/>
        <w:jc w:val="both"/>
        <w:rPr>
          <w:rFonts w:ascii="Browallia New" w:hAnsi="Browallia New" w:cs="Browallia New"/>
          <w:b/>
          <w:color w:val="3891A7" w:themeColor="accent1"/>
          <w:sz w:val="36"/>
          <w:szCs w:val="36"/>
        </w:rPr>
      </w:pPr>
      <w:r w:rsidRPr="00774ECA">
        <w:rPr>
          <w:rFonts w:ascii="Browallia New" w:hAnsi="Browallia New" w:cs="Browallia New"/>
          <w:b/>
          <w:color w:val="FFFFFF" w:themeColor="background1"/>
          <w:sz w:val="36"/>
          <w:szCs w:val="36"/>
          <w:shd w:val="clear" w:color="auto" w:fill="0070C0"/>
        </w:rPr>
        <w:lastRenderedPageBreak/>
        <w:t>APPENDIX A: OVERVIEW OF RESPONDENT DEMOGRAPHICS</w:t>
      </w:r>
    </w:p>
    <w:p w14:paraId="28D36F14" w14:textId="77777777" w:rsidR="00D820AD" w:rsidRPr="00556EBB" w:rsidRDefault="00536042" w:rsidP="00556EBB">
      <w:pPr>
        <w:spacing w:line="204" w:lineRule="auto"/>
        <w:jc w:val="both"/>
        <w:rPr>
          <w:rFonts w:ascii="Browallia New" w:hAnsi="Browallia New" w:cs="Browallia New"/>
          <w:sz w:val="28"/>
          <w:szCs w:val="28"/>
        </w:rPr>
      </w:pPr>
      <w:r>
        <w:rPr>
          <w:rFonts w:ascii="Browallia New" w:hAnsi="Browallia New" w:cs="Browallia New"/>
          <w:noProof/>
          <w:sz w:val="28"/>
          <w:szCs w:val="28"/>
        </w:rPr>
        <mc:AlternateContent>
          <mc:Choice Requires="wps">
            <w:drawing>
              <wp:anchor distT="0" distB="0" distL="114300" distR="114300" simplePos="0" relativeHeight="251751424" behindDoc="0" locked="0" layoutInCell="0" allowOverlap="1" wp14:anchorId="48685902" wp14:editId="662B8C46">
                <wp:simplePos x="0" y="0"/>
                <wp:positionH relativeFrom="margin">
                  <wp:posOffset>10160</wp:posOffset>
                </wp:positionH>
                <wp:positionV relativeFrom="margin">
                  <wp:posOffset>1109980</wp:posOffset>
                </wp:positionV>
                <wp:extent cx="2133600" cy="960120"/>
                <wp:effectExtent l="19050" t="19050" r="19050" b="11430"/>
                <wp:wrapSquare wrapText="bothSides"/>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960120"/>
                        </a:xfrm>
                        <a:prstGeom prst="roundRect">
                          <a:avLst>
                            <a:gd name="adj" fmla="val 16667"/>
                          </a:avLst>
                        </a:prstGeom>
                        <a:solidFill>
                          <a:schemeClr val="accent2">
                            <a:lumMod val="75000"/>
                          </a:schemeClr>
                        </a:solidFill>
                        <a:ln w="38100">
                          <a:solidFill>
                            <a:srgbClr val="1A6DA6"/>
                          </a:solidFill>
                          <a:round/>
                          <a:headEnd/>
                          <a:tailEnd/>
                        </a:ln>
                        <a:effectLst/>
                      </wps:spPr>
                      <wps:txbx>
                        <w:txbxContent>
                          <w:p w14:paraId="0AADA09A" w14:textId="77777777" w:rsidR="00206200" w:rsidRPr="003B1178" w:rsidRDefault="00206200" w:rsidP="00D820AD">
                            <w:pPr>
                              <w:spacing w:after="0"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Results are based on responses from 474 executives, mostly serving in financial leadership roles, representing a variety of industries and firm sizes.</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685902" id="AutoShape 18" o:spid="_x0000_s1037" style="position:absolute;left:0;text-align:left;margin-left:.8pt;margin-top:87.4pt;width:168pt;height:75.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" o:allowincell="f" fillcolor="#c48b01 [2405]" strokecolor="#1a6da6" strokeweight="3pt">
                <v:textbox inset="3.6pt,,3.6pt">
                  <w:txbxContent>
                    <w:p w14:paraId="0AADA09A" w14:textId="77777777" w:rsidR="00206200" w:rsidRPr="003B1178" w:rsidRDefault="00206200" w:rsidP="00D820AD">
                      <w:pPr>
                        <w:spacing w:after="0" w:line="204" w:lineRule="auto"/>
                        <w:jc w:val="center"/>
                        <w:rPr>
                          <w:rFonts w:ascii="Browallia New" w:hAnsi="Browallia New" w:cs="Browallia New"/>
                          <w:b/>
                          <w:iCs/>
                          <w:color w:val="232D46" w:themeColor="accent6" w:themeShade="80"/>
                          <w:sz w:val="24"/>
                          <w:szCs w:val="24"/>
                        </w:rPr>
                      </w:pPr>
                      <w:r w:rsidRPr="003B1178">
                        <w:rPr>
                          <w:rFonts w:ascii="Browallia New" w:hAnsi="Browallia New" w:cs="Browallia New"/>
                          <w:b/>
                          <w:iCs/>
                          <w:color w:val="232D46" w:themeColor="accent6" w:themeShade="80"/>
                          <w:sz w:val="24"/>
                          <w:szCs w:val="24"/>
                        </w:rPr>
                        <w:t>Results are based on responses from 474 executives, mostly serving in financial leadership roles, representing a variety of industries and firm sizes.</w:t>
                      </w:r>
                    </w:p>
                  </w:txbxContent>
                </v:textbox>
                <w10:wrap type="square" anchorx="margin" anchory="margin"/>
              </v:roundrect>
            </w:pict>
          </mc:Fallback>
        </mc:AlternateContent>
      </w:r>
      <w:r w:rsidR="00D820AD" w:rsidRPr="00556EBB">
        <w:rPr>
          <w:rFonts w:ascii="Browallia New" w:hAnsi="Browallia New" w:cs="Browallia New"/>
          <w:sz w:val="28"/>
          <w:szCs w:val="28"/>
        </w:rPr>
        <w:t xml:space="preserve">This is the ninth year we have conducted this study to identify trends across </w:t>
      </w:r>
      <w:proofErr w:type="gramStart"/>
      <w:r w:rsidR="00D820AD" w:rsidRPr="00556EBB">
        <w:rPr>
          <w:rFonts w:ascii="Browallia New" w:hAnsi="Browallia New" w:cs="Browallia New"/>
          <w:sz w:val="28"/>
          <w:szCs w:val="28"/>
        </w:rPr>
        <w:t>a number of</w:t>
      </w:r>
      <w:proofErr w:type="gramEnd"/>
      <w:r w:rsidR="00D820AD" w:rsidRPr="00556EBB">
        <w:rPr>
          <w:rFonts w:ascii="Browallia New" w:hAnsi="Browallia New" w:cs="Browallia New"/>
          <w:sz w:val="28"/>
          <w:szCs w:val="28"/>
        </w:rPr>
        <w:t xml:space="preserve"> organizations related to their enterprise risk management (ERM) processes. This study was conducted by research faculty who lead the Enterprise Risk Management Initiative (the ERM Initiative) in the Poole College of Management at North Carolina State University (for more information about the ERM Initiative please see http://www.erm.ncsu.edu). The research was conducted in conjunction with the American Institute of Certified Public Accountants’ (AICPA) </w:t>
      </w:r>
      <w:r w:rsidR="00F02D57">
        <w:rPr>
          <w:rFonts w:ascii="Browallia New" w:hAnsi="Browallia New" w:cs="Browallia New"/>
          <w:sz w:val="28"/>
          <w:szCs w:val="28"/>
        </w:rPr>
        <w:t xml:space="preserve">Management Accounting - </w:t>
      </w:r>
      <w:r w:rsidR="00D820AD" w:rsidRPr="00556EBB">
        <w:rPr>
          <w:rFonts w:ascii="Browallia New" w:hAnsi="Browallia New" w:cs="Browallia New"/>
          <w:sz w:val="28"/>
          <w:szCs w:val="28"/>
        </w:rPr>
        <w:t xml:space="preserve">Business, Industry, and Government Team. Data was collected during the fall of 2017 through an online survey instrument electronically sent to members of the AICPA’s Business and Industry group who serve in chief financial officer or equivalent senior executive positions. In total, we received 474 fully </w:t>
      </w:r>
      <w:proofErr w:type="gramStart"/>
      <w:r w:rsidR="00D820AD" w:rsidRPr="00556EBB">
        <w:rPr>
          <w:rFonts w:ascii="Browallia New" w:hAnsi="Browallia New" w:cs="Browallia New"/>
          <w:sz w:val="28"/>
          <w:szCs w:val="28"/>
        </w:rPr>
        <w:t>completed</w:t>
      </w:r>
      <w:proofErr w:type="gramEnd"/>
      <w:r w:rsidR="00D820AD" w:rsidRPr="00556EBB">
        <w:rPr>
          <w:rFonts w:ascii="Browallia New" w:hAnsi="Browallia New" w:cs="Browallia New"/>
          <w:sz w:val="28"/>
          <w:szCs w:val="28"/>
        </w:rPr>
        <w:t xml:space="preserve"> surveys. This report summarizes our findings.</w:t>
      </w:r>
    </w:p>
    <w:p w14:paraId="52590BA9" w14:textId="77777777" w:rsidR="00D820AD" w:rsidRPr="003B1178" w:rsidRDefault="00D820AD" w:rsidP="00D820AD">
      <w:pPr>
        <w:rPr>
          <w:rFonts w:ascii="Browallia New" w:hAnsi="Browallia New" w:cs="Browallia New"/>
          <w:b/>
          <w:sz w:val="28"/>
          <w:szCs w:val="28"/>
        </w:rPr>
      </w:pPr>
      <w:r w:rsidRPr="003B1178">
        <w:rPr>
          <w:rFonts w:ascii="Browallia New" w:hAnsi="Browallia New" w:cs="Browallia New"/>
          <w:b/>
          <w:sz w:val="28"/>
          <w:szCs w:val="28"/>
        </w:rPr>
        <w:t>Description of Respondents</w:t>
      </w:r>
    </w:p>
    <w:p w14:paraId="3D21317B" w14:textId="77777777" w:rsidR="00D820AD" w:rsidRPr="00556EBB" w:rsidRDefault="00D820AD"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Respondents completed an online survey consisting of over 40 questions that sought information about various aspects of risk oversight within their organizations. Most of those questions are the same across all nine of our editions of the surveys that we have conducted each year from 2009 - 2017. This approach provides </w:t>
      </w:r>
      <w:proofErr w:type="gramStart"/>
      <w:r w:rsidRPr="00556EBB">
        <w:rPr>
          <w:rFonts w:ascii="Browallia New" w:hAnsi="Browallia New" w:cs="Browallia New"/>
          <w:sz w:val="28"/>
          <w:szCs w:val="28"/>
        </w:rPr>
        <w:t>us</w:t>
      </w:r>
      <w:proofErr w:type="gramEnd"/>
      <w:r w:rsidRPr="00556EBB">
        <w:rPr>
          <w:rFonts w:ascii="Browallia New" w:hAnsi="Browallia New" w:cs="Browallia New"/>
          <w:sz w:val="28"/>
          <w:szCs w:val="28"/>
        </w:rPr>
        <w:t xml:space="preserve"> an opportunity to observe any shifts in trends </w:t>
      </w:r>
      <w:proofErr w:type="gramStart"/>
      <w:r w:rsidRPr="00556EBB">
        <w:rPr>
          <w:rFonts w:ascii="Browallia New" w:hAnsi="Browallia New" w:cs="Browallia New"/>
          <w:sz w:val="28"/>
          <w:szCs w:val="28"/>
        </w:rPr>
        <w:t>in light of</w:t>
      </w:r>
      <w:proofErr w:type="gramEnd"/>
      <w:r w:rsidRPr="00556EBB">
        <w:rPr>
          <w:rFonts w:ascii="Browallia New" w:hAnsi="Browallia New" w:cs="Browallia New"/>
          <w:sz w:val="28"/>
          <w:szCs w:val="28"/>
        </w:rPr>
        <w:t xml:space="preserve"> more recent developments surrounding board and senior executive’s roles in risk oversight.</w:t>
      </w:r>
    </w:p>
    <w:p w14:paraId="3D74026B" w14:textId="77777777" w:rsidR="00D820AD" w:rsidRPr="00556EBB" w:rsidRDefault="00D820AD"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Because the completion of the survey was voluntary, there is some potential for bias if those choosing to respond differ significantly from those who did not respond. Our study’s results may be limited to the extent that such bias exists. Furthermore, there is a high concentration of respondents representing financial reporting roles. Possibly, there are others leading the risk management effort within their organizations whose views are not captured in the responses we received. Despite these limitations, we believe the results reported herein provide useful insights about the current level of risk </w:t>
      </w:r>
      <w:proofErr w:type="gramStart"/>
      <w:r w:rsidRPr="00556EBB">
        <w:rPr>
          <w:rFonts w:ascii="Browallia New" w:hAnsi="Browallia New" w:cs="Browallia New"/>
          <w:sz w:val="28"/>
          <w:szCs w:val="28"/>
        </w:rPr>
        <w:t>oversight</w:t>
      </w:r>
      <w:proofErr w:type="gramEnd"/>
      <w:r w:rsidRPr="00556EBB">
        <w:rPr>
          <w:rFonts w:ascii="Browallia New" w:hAnsi="Browallia New" w:cs="Browallia New"/>
          <w:sz w:val="28"/>
          <w:szCs w:val="28"/>
        </w:rPr>
        <w:t xml:space="preserve"> maturity and sophistication and highlight many challenges associated with strengthening risk oversight in many different types of organizations.</w:t>
      </w:r>
    </w:p>
    <w:p w14:paraId="268D8855" w14:textId="77777777" w:rsidR="00D820AD" w:rsidRPr="00556EBB" w:rsidRDefault="00D820AD"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A variety of executives participated in our survey, with 22%</w:t>
      </w:r>
      <w:r w:rsidRPr="00556EBB">
        <w:rPr>
          <w:rStyle w:val="FootnoteReference"/>
          <w:rFonts w:ascii="Browallia New" w:hAnsi="Browallia New" w:cs="Browallia New"/>
          <w:sz w:val="28"/>
          <w:szCs w:val="28"/>
        </w:rPr>
        <w:footnoteReference w:id="1"/>
      </w:r>
      <w:r w:rsidRPr="00556EBB">
        <w:rPr>
          <w:rFonts w:ascii="Browallia New" w:hAnsi="Browallia New" w:cs="Browallia New"/>
          <w:sz w:val="28"/>
          <w:szCs w:val="28"/>
        </w:rPr>
        <w:t xml:space="preserve"> of respondents having the title of chief financial officer (CFO), 14% serving as chief risk officer (CRO), 12% as controller, and 8% leading internal audit, with the remainder representing numerous other executive positions.</w:t>
      </w:r>
    </w:p>
    <w:p w14:paraId="1EB3E6F8" w14:textId="77777777" w:rsidR="00D820AD" w:rsidRPr="003B1178" w:rsidRDefault="00D820AD" w:rsidP="00D820AD">
      <w:pPr>
        <w:jc w:val="both"/>
        <w:rPr>
          <w:rFonts w:ascii="Browallia New" w:hAnsi="Browallia New" w:cs="Browallia New"/>
          <w:b/>
          <w:sz w:val="28"/>
          <w:szCs w:val="28"/>
        </w:rPr>
      </w:pPr>
      <w:r w:rsidRPr="003B1178">
        <w:rPr>
          <w:rFonts w:ascii="Browallia New" w:hAnsi="Browallia New" w:cs="Browallia New"/>
          <w:b/>
          <w:sz w:val="28"/>
          <w:szCs w:val="28"/>
        </w:rPr>
        <w:t>Nature of Organizations Represented</w:t>
      </w:r>
    </w:p>
    <w:p w14:paraId="76B07382" w14:textId="77777777" w:rsidR="00D820AD" w:rsidRPr="00556EBB" w:rsidRDefault="00D820AD"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The respondents represent a broad range of industries. Consistent with our prior year survey, the four most common industries responding to this year’s survey were finance, insurance, and real estate (29%), followed by not-for-profit (23%), manufacturing (15%), and services (15%).The mix of industries is generally consistent with the mix in our previous reports.</w:t>
      </w:r>
      <w:r w:rsidRPr="00556EBB">
        <w:rPr>
          <w:rFonts w:ascii="Browallia New" w:hAnsi="Browallia New" w:cs="Browallia New"/>
          <w:sz w:val="28"/>
          <w:szCs w:val="28"/>
        </w:rPr>
        <w:br w:type="page"/>
      </w:r>
    </w:p>
    <w:tbl>
      <w:tblPr>
        <w:tblStyle w:val="ListTable3-Accent31"/>
        <w:tblW w:w="0" w:type="auto"/>
        <w:tblLook w:val="04A0" w:firstRow="1" w:lastRow="0" w:firstColumn="1" w:lastColumn="0" w:noHBand="0" w:noVBand="1"/>
      </w:tblPr>
      <w:tblGrid>
        <w:gridCol w:w="3870"/>
        <w:gridCol w:w="1598"/>
        <w:gridCol w:w="3882"/>
      </w:tblGrid>
      <w:tr w:rsidR="00D820AD" w:rsidRPr="00F46D57" w14:paraId="5A989AF2" w14:textId="77777777" w:rsidTr="00E12A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68" w:type="dxa"/>
            <w:gridSpan w:val="2"/>
            <w:tcBorders>
              <w:top w:val="thinThickThinLargeGap" w:sz="24" w:space="0" w:color="C48B01" w:themeColor="accent2" w:themeShade="BF"/>
              <w:left w:val="nil"/>
            </w:tcBorders>
            <w:shd w:val="clear" w:color="auto" w:fill="0070C0"/>
          </w:tcPr>
          <w:p w14:paraId="6A4C4400" w14:textId="77777777" w:rsidR="00D820AD" w:rsidRPr="00606007" w:rsidRDefault="00D820AD" w:rsidP="00D820AD">
            <w:pPr>
              <w:jc w:val="both"/>
              <w:rPr>
                <w:rFonts w:ascii="Browallia New" w:hAnsi="Browallia New" w:cs="Browallia New"/>
                <w:sz w:val="28"/>
                <w:szCs w:val="28"/>
              </w:rPr>
            </w:pPr>
            <w:r w:rsidRPr="00606007">
              <w:rPr>
                <w:rFonts w:ascii="Browallia New" w:hAnsi="Browallia New" w:cs="Browallia New"/>
                <w:sz w:val="28"/>
                <w:szCs w:val="28"/>
              </w:rPr>
              <w:lastRenderedPageBreak/>
              <w:t>Industry (SIC Codes)</w:t>
            </w:r>
          </w:p>
        </w:tc>
        <w:tc>
          <w:tcPr>
            <w:tcW w:w="3882" w:type="dxa"/>
            <w:tcBorders>
              <w:top w:val="thinThickThinLargeGap" w:sz="24" w:space="0" w:color="C48B01" w:themeColor="accent2" w:themeShade="BF"/>
              <w:left w:val="nil"/>
              <w:bottom w:val="nil"/>
            </w:tcBorders>
            <w:shd w:val="clear" w:color="auto" w:fill="0070C0"/>
          </w:tcPr>
          <w:p w14:paraId="0AD9A4EC" w14:textId="77777777" w:rsidR="00D820AD" w:rsidRPr="00606007" w:rsidRDefault="00D820AD" w:rsidP="00D820AD">
            <w:pPr>
              <w:jc w:val="both"/>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606007">
              <w:rPr>
                <w:rFonts w:ascii="Browallia New" w:hAnsi="Browallia New" w:cs="Browallia New"/>
                <w:sz w:val="28"/>
                <w:szCs w:val="28"/>
              </w:rPr>
              <w:t>Percentage of Respondents</w:t>
            </w:r>
          </w:p>
        </w:tc>
      </w:tr>
      <w:tr w:rsidR="00D820AD" w:rsidRPr="00F46D57" w14:paraId="4BE5B9E0"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2B7D0C02" w14:textId="77777777" w:rsidR="00D820AD" w:rsidRPr="00592A89" w:rsidRDefault="00D820AD" w:rsidP="00D820AD">
            <w:pPr>
              <w:jc w:val="both"/>
              <w:rPr>
                <w:rFonts w:ascii="Browallia New" w:hAnsi="Browallia New" w:cs="Browallia New"/>
                <w:color w:val="835D00" w:themeColor="accent2" w:themeShade="80"/>
                <w:u w:val="single"/>
              </w:rPr>
            </w:pPr>
            <w:r w:rsidRPr="00592A89">
              <w:rPr>
                <w:rFonts w:ascii="Browallia New" w:hAnsi="Browallia New" w:cs="Browallia New"/>
                <w:color w:val="835D00" w:themeColor="accent2" w:themeShade="80"/>
                <w:u w:val="single"/>
              </w:rPr>
              <w:t>For-Profit Entities:</w:t>
            </w:r>
          </w:p>
        </w:tc>
        <w:tc>
          <w:tcPr>
            <w:tcW w:w="5480" w:type="dxa"/>
            <w:gridSpan w:val="2"/>
            <w:tcBorders>
              <w:top w:val="nil"/>
              <w:left w:val="nil"/>
              <w:bottom w:val="nil"/>
              <w:right w:val="nil"/>
            </w:tcBorders>
            <w:shd w:val="clear" w:color="auto" w:fill="FFFFFF" w:themeFill="background1"/>
          </w:tcPr>
          <w:p w14:paraId="77427740" w14:textId="77777777" w:rsidR="00D820AD" w:rsidRPr="00592A89"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p>
        </w:tc>
      </w:tr>
      <w:tr w:rsidR="00D820AD" w:rsidRPr="00F46D57" w14:paraId="78309F3F" w14:textId="77777777" w:rsidTr="00D820AD">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4718A84E"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Finance, Insurance, Real Estate (SIC 60-67)</w:t>
            </w:r>
          </w:p>
        </w:tc>
        <w:tc>
          <w:tcPr>
            <w:tcW w:w="5480" w:type="dxa"/>
            <w:gridSpan w:val="2"/>
            <w:tcBorders>
              <w:top w:val="nil"/>
              <w:left w:val="nil"/>
              <w:bottom w:val="nil"/>
              <w:right w:val="nil"/>
            </w:tcBorders>
            <w:shd w:val="clear" w:color="auto" w:fill="FFFFFF" w:themeFill="background1"/>
          </w:tcPr>
          <w:p w14:paraId="17FDA1B0" w14:textId="77777777" w:rsidR="00D820AD" w:rsidRPr="00592A89"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29%</w:t>
            </w:r>
          </w:p>
        </w:tc>
      </w:tr>
      <w:tr w:rsidR="00D820AD" w:rsidRPr="00F46D57" w14:paraId="2C56E5E5" w14:textId="77777777" w:rsidTr="00D820A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7C5A2A92"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Manufacturing (SIC 20-39)</w:t>
            </w:r>
          </w:p>
        </w:tc>
        <w:tc>
          <w:tcPr>
            <w:tcW w:w="5480" w:type="dxa"/>
            <w:gridSpan w:val="2"/>
            <w:tcBorders>
              <w:top w:val="nil"/>
              <w:left w:val="nil"/>
              <w:bottom w:val="nil"/>
              <w:right w:val="nil"/>
            </w:tcBorders>
            <w:shd w:val="clear" w:color="auto" w:fill="FFFFFF" w:themeFill="background1"/>
          </w:tcPr>
          <w:p w14:paraId="2A201874" w14:textId="77777777" w:rsidR="00D820AD" w:rsidRPr="00592A89"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15%</w:t>
            </w:r>
          </w:p>
        </w:tc>
      </w:tr>
      <w:tr w:rsidR="00D820AD" w:rsidRPr="00F46D57" w14:paraId="12523163" w14:textId="77777777" w:rsidTr="00D820AD">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1CBE4E2C"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Services (SIC 70-89)</w:t>
            </w:r>
          </w:p>
        </w:tc>
        <w:tc>
          <w:tcPr>
            <w:tcW w:w="5480" w:type="dxa"/>
            <w:gridSpan w:val="2"/>
            <w:tcBorders>
              <w:top w:val="nil"/>
              <w:left w:val="nil"/>
              <w:bottom w:val="nil"/>
              <w:right w:val="nil"/>
            </w:tcBorders>
            <w:shd w:val="clear" w:color="auto" w:fill="FFFFFF" w:themeFill="background1"/>
          </w:tcPr>
          <w:p w14:paraId="4BC9A881" w14:textId="77777777" w:rsidR="00D820AD" w:rsidRPr="00592A89"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15%</w:t>
            </w:r>
          </w:p>
        </w:tc>
      </w:tr>
      <w:tr w:rsidR="00D820AD" w:rsidRPr="00F46D57" w14:paraId="08B6AEDF"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763D523E"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Wholesale/Distribution (SIC 50-51)</w:t>
            </w:r>
          </w:p>
        </w:tc>
        <w:tc>
          <w:tcPr>
            <w:tcW w:w="5480" w:type="dxa"/>
            <w:gridSpan w:val="2"/>
            <w:tcBorders>
              <w:top w:val="nil"/>
              <w:left w:val="nil"/>
              <w:bottom w:val="nil"/>
              <w:right w:val="nil"/>
            </w:tcBorders>
            <w:shd w:val="clear" w:color="auto" w:fill="FFFFFF" w:themeFill="background1"/>
          </w:tcPr>
          <w:p w14:paraId="298905F7" w14:textId="77777777" w:rsidR="00D820AD" w:rsidRPr="00592A89"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5%</w:t>
            </w:r>
          </w:p>
        </w:tc>
      </w:tr>
      <w:tr w:rsidR="00D820AD" w:rsidRPr="00F46D57" w14:paraId="01A7F544" w14:textId="77777777" w:rsidTr="00D820AD">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635F6831"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Construction (SIC 15-17)</w:t>
            </w:r>
          </w:p>
        </w:tc>
        <w:tc>
          <w:tcPr>
            <w:tcW w:w="5480" w:type="dxa"/>
            <w:gridSpan w:val="2"/>
            <w:tcBorders>
              <w:top w:val="nil"/>
              <w:left w:val="nil"/>
              <w:bottom w:val="nil"/>
              <w:right w:val="nil"/>
            </w:tcBorders>
            <w:shd w:val="clear" w:color="auto" w:fill="FFFFFF" w:themeFill="background1"/>
          </w:tcPr>
          <w:p w14:paraId="5E2D0F11" w14:textId="77777777" w:rsidR="00D820AD" w:rsidRPr="00592A89"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5%</w:t>
            </w:r>
          </w:p>
        </w:tc>
      </w:tr>
      <w:tr w:rsidR="00D820AD" w:rsidRPr="00F46D57" w14:paraId="69ADC09F"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2378EF5F"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Retail (SIC 52-59)</w:t>
            </w:r>
          </w:p>
        </w:tc>
        <w:tc>
          <w:tcPr>
            <w:tcW w:w="5480" w:type="dxa"/>
            <w:gridSpan w:val="2"/>
            <w:tcBorders>
              <w:top w:val="nil"/>
              <w:left w:val="nil"/>
              <w:bottom w:val="nil"/>
              <w:right w:val="nil"/>
            </w:tcBorders>
            <w:shd w:val="clear" w:color="auto" w:fill="FFFFFF" w:themeFill="background1"/>
          </w:tcPr>
          <w:p w14:paraId="7183D5CB" w14:textId="77777777" w:rsidR="00D820AD" w:rsidRPr="00592A89"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4%</w:t>
            </w:r>
          </w:p>
        </w:tc>
      </w:tr>
      <w:tr w:rsidR="00D820AD" w:rsidRPr="00F46D57" w14:paraId="45D929D4" w14:textId="77777777" w:rsidTr="00D820AD">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49C37D56"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Mining (SIC 10-14)</w:t>
            </w:r>
          </w:p>
        </w:tc>
        <w:tc>
          <w:tcPr>
            <w:tcW w:w="5480" w:type="dxa"/>
            <w:gridSpan w:val="2"/>
            <w:tcBorders>
              <w:top w:val="nil"/>
              <w:left w:val="nil"/>
              <w:bottom w:val="nil"/>
              <w:right w:val="nil"/>
            </w:tcBorders>
            <w:shd w:val="clear" w:color="auto" w:fill="FFFFFF" w:themeFill="background1"/>
          </w:tcPr>
          <w:p w14:paraId="6BAC2375" w14:textId="77777777" w:rsidR="00D820AD" w:rsidRPr="00592A89"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2%</w:t>
            </w:r>
          </w:p>
        </w:tc>
      </w:tr>
      <w:tr w:rsidR="00D820AD" w:rsidRPr="00F46D57" w14:paraId="169AD0D2"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37267A44"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Transportation (SIC 40-49)</w:t>
            </w:r>
          </w:p>
        </w:tc>
        <w:tc>
          <w:tcPr>
            <w:tcW w:w="5480" w:type="dxa"/>
            <w:gridSpan w:val="2"/>
            <w:tcBorders>
              <w:top w:val="nil"/>
              <w:left w:val="nil"/>
              <w:bottom w:val="nil"/>
              <w:right w:val="nil"/>
            </w:tcBorders>
            <w:shd w:val="clear" w:color="auto" w:fill="FFFFFF" w:themeFill="background1"/>
          </w:tcPr>
          <w:p w14:paraId="5A2D4AC8" w14:textId="77777777" w:rsidR="00D820AD" w:rsidRPr="00592A89"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2%</w:t>
            </w:r>
          </w:p>
        </w:tc>
      </w:tr>
      <w:tr w:rsidR="00D820AD" w:rsidRPr="00F46D57" w14:paraId="3B9166BA" w14:textId="77777777" w:rsidTr="00D820AD">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4C49CCEC" w14:textId="77777777" w:rsidR="00D820AD" w:rsidRPr="00592A89" w:rsidRDefault="00D820AD" w:rsidP="00D820AD">
            <w:pPr>
              <w:jc w:val="both"/>
              <w:rPr>
                <w:rFonts w:ascii="Browallia New" w:hAnsi="Browallia New" w:cs="Browallia New"/>
                <w:color w:val="835D00" w:themeColor="accent2" w:themeShade="80"/>
                <w:u w:val="single"/>
              </w:rPr>
            </w:pPr>
            <w:r w:rsidRPr="00592A89">
              <w:rPr>
                <w:rFonts w:ascii="Browallia New" w:hAnsi="Browallia New" w:cs="Browallia New"/>
                <w:color w:val="835D00" w:themeColor="accent2" w:themeShade="80"/>
                <w:u w:val="single"/>
              </w:rPr>
              <w:t>Not-for-Profit (SIC N/A)</w:t>
            </w:r>
          </w:p>
        </w:tc>
        <w:tc>
          <w:tcPr>
            <w:tcW w:w="5480" w:type="dxa"/>
            <w:gridSpan w:val="2"/>
            <w:tcBorders>
              <w:top w:val="nil"/>
              <w:left w:val="nil"/>
              <w:bottom w:val="nil"/>
              <w:right w:val="nil"/>
            </w:tcBorders>
            <w:shd w:val="clear" w:color="auto" w:fill="FFFFFF" w:themeFill="background1"/>
          </w:tcPr>
          <w:p w14:paraId="46476242" w14:textId="77777777" w:rsidR="00D820AD" w:rsidRPr="00592A89"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p>
        </w:tc>
      </w:tr>
      <w:tr w:rsidR="00D820AD" w:rsidRPr="00F46D57" w14:paraId="4A349308"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541EC4DC" w14:textId="77777777" w:rsidR="00D820AD" w:rsidRPr="00592A89" w:rsidRDefault="00D820AD" w:rsidP="00D820AD">
            <w:pPr>
              <w:jc w:val="both"/>
              <w:rPr>
                <w:rFonts w:ascii="Browallia New" w:hAnsi="Browallia New" w:cs="Browallia New"/>
                <w:color w:val="835D00" w:themeColor="accent2" w:themeShade="80"/>
              </w:rPr>
            </w:pPr>
            <w:r>
              <w:rPr>
                <w:rFonts w:ascii="Browallia New" w:hAnsi="Browallia New" w:cs="Browallia New"/>
                <w:color w:val="835D00" w:themeColor="accent2" w:themeShade="80"/>
              </w:rPr>
              <w:t xml:space="preserve">  </w:t>
            </w:r>
            <w:r w:rsidRPr="00592A89">
              <w:rPr>
                <w:rFonts w:ascii="Browallia New" w:hAnsi="Browallia New" w:cs="Browallia New"/>
                <w:color w:val="835D00" w:themeColor="accent2" w:themeShade="80"/>
              </w:rPr>
              <w:t>Government Agencies, Universities, Non-Profits</w:t>
            </w:r>
          </w:p>
        </w:tc>
        <w:tc>
          <w:tcPr>
            <w:tcW w:w="5480" w:type="dxa"/>
            <w:gridSpan w:val="2"/>
            <w:tcBorders>
              <w:top w:val="nil"/>
              <w:left w:val="nil"/>
              <w:bottom w:val="nil"/>
              <w:right w:val="nil"/>
            </w:tcBorders>
            <w:shd w:val="clear" w:color="auto" w:fill="FFFFFF" w:themeFill="background1"/>
          </w:tcPr>
          <w:p w14:paraId="3B731D37" w14:textId="77777777" w:rsidR="00D820AD" w:rsidRPr="00592A89"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592A89">
              <w:rPr>
                <w:rFonts w:ascii="Browallia New" w:hAnsi="Browallia New" w:cs="Browallia New"/>
                <w:b/>
                <w:color w:val="835D00" w:themeColor="accent2" w:themeShade="80"/>
              </w:rPr>
              <w:t>23%</w:t>
            </w:r>
          </w:p>
        </w:tc>
      </w:tr>
    </w:tbl>
    <w:p w14:paraId="5DF981C1" w14:textId="77777777" w:rsidR="00D820AD" w:rsidRPr="00F46D57" w:rsidRDefault="00D820AD" w:rsidP="00D820AD">
      <w:pPr>
        <w:rPr>
          <w:rFonts w:ascii="Browallia New" w:hAnsi="Browallia New" w:cs="Browallia New"/>
          <w:b/>
        </w:rPr>
      </w:pPr>
    </w:p>
    <w:p w14:paraId="47F3BFE0" w14:textId="77777777" w:rsidR="00D820AD" w:rsidRPr="00556EBB" w:rsidRDefault="00D820AD" w:rsidP="00556EBB">
      <w:pPr>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The respondents represent a variety of sizes of organizations. As shown in the table below, </w:t>
      </w:r>
      <w:r w:rsidR="00D404E0">
        <w:rPr>
          <w:rFonts w:ascii="Browallia New" w:hAnsi="Browallia New" w:cs="Browallia New"/>
          <w:sz w:val="28"/>
          <w:szCs w:val="28"/>
        </w:rPr>
        <w:t xml:space="preserve">about </w:t>
      </w:r>
      <w:r w:rsidRPr="00556EBB">
        <w:rPr>
          <w:rFonts w:ascii="Browallia New" w:hAnsi="Browallia New" w:cs="Browallia New"/>
          <w:sz w:val="28"/>
          <w:szCs w:val="28"/>
        </w:rPr>
        <w:t>two-thirds (62%) of organizations that provided data about their financial performance generated revenues up to $500 million in their most recent fiscal year.</w:t>
      </w:r>
      <w:r w:rsidRPr="00556EBB">
        <w:rPr>
          <w:rStyle w:val="FootnoteReference"/>
          <w:rFonts w:ascii="Browallia New" w:hAnsi="Browallia New" w:cs="Browallia New"/>
          <w:sz w:val="28"/>
          <w:szCs w:val="28"/>
        </w:rPr>
        <w:footnoteReference w:id="2"/>
      </w:r>
      <w:r w:rsidRPr="00556EBB">
        <w:rPr>
          <w:rFonts w:ascii="Browallia New" w:hAnsi="Browallia New" w:cs="Browallia New"/>
          <w:sz w:val="28"/>
          <w:szCs w:val="28"/>
        </w:rPr>
        <w:t xml:space="preserve"> An additional 9% generated revenues between $500 million and $1 billion while 29% of organizations providing revenue data earned revenues </w:t>
      </w:r>
      <w:proofErr w:type="gramStart"/>
      <w:r w:rsidRPr="00556EBB">
        <w:rPr>
          <w:rFonts w:ascii="Browallia New" w:hAnsi="Browallia New" w:cs="Browallia New"/>
          <w:sz w:val="28"/>
          <w:szCs w:val="28"/>
        </w:rPr>
        <w:t>in excess of</w:t>
      </w:r>
      <w:proofErr w:type="gramEnd"/>
      <w:r w:rsidRPr="00556EBB">
        <w:rPr>
          <w:rFonts w:ascii="Browallia New" w:hAnsi="Browallia New" w:cs="Browallia New"/>
          <w:sz w:val="28"/>
          <w:szCs w:val="28"/>
        </w:rPr>
        <w:t xml:space="preserve"> $1 billion. Almost all (80%) of the organizations are based in the United States.</w:t>
      </w:r>
    </w:p>
    <w:tbl>
      <w:tblPr>
        <w:tblStyle w:val="ListTable3-Accent3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16"/>
        <w:gridCol w:w="604"/>
        <w:gridCol w:w="5040"/>
      </w:tblGrid>
      <w:tr w:rsidR="00D820AD" w:rsidRPr="00F46D57" w14:paraId="4D6AF8B5" w14:textId="77777777" w:rsidTr="00E12A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gridSpan w:val="2"/>
            <w:tcBorders>
              <w:top w:val="thinThickThinLargeGap" w:sz="24" w:space="0" w:color="C48B01" w:themeColor="accent2" w:themeShade="BF"/>
              <w:bottom w:val="none" w:sz="0" w:space="0" w:color="auto"/>
              <w:right w:val="none" w:sz="0" w:space="0" w:color="auto"/>
            </w:tcBorders>
            <w:shd w:val="clear" w:color="auto" w:fill="0070C0"/>
          </w:tcPr>
          <w:p w14:paraId="6D14CA64" w14:textId="77777777" w:rsidR="00D820AD" w:rsidRPr="00606007" w:rsidRDefault="00D820AD" w:rsidP="00D820AD">
            <w:pPr>
              <w:jc w:val="center"/>
              <w:rPr>
                <w:rFonts w:ascii="Browallia New" w:hAnsi="Browallia New" w:cs="Browallia New"/>
                <w:sz w:val="28"/>
                <w:szCs w:val="28"/>
              </w:rPr>
            </w:pPr>
            <w:r w:rsidRPr="00606007">
              <w:rPr>
                <w:rFonts w:ascii="Browallia New" w:hAnsi="Browallia New" w:cs="Browallia New"/>
                <w:sz w:val="28"/>
                <w:szCs w:val="28"/>
              </w:rPr>
              <w:t>Range of Revenues in Most Recent Fiscal Year</w:t>
            </w:r>
          </w:p>
        </w:tc>
        <w:tc>
          <w:tcPr>
            <w:tcW w:w="5040" w:type="dxa"/>
            <w:tcBorders>
              <w:top w:val="thinThickThinLargeGap" w:sz="24" w:space="0" w:color="C48B01" w:themeColor="accent2" w:themeShade="BF"/>
            </w:tcBorders>
            <w:shd w:val="clear" w:color="auto" w:fill="0070C0"/>
          </w:tcPr>
          <w:p w14:paraId="51A54C3F" w14:textId="77777777" w:rsidR="00D820AD" w:rsidRPr="00606007" w:rsidRDefault="00D820AD" w:rsidP="00D820A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606007">
              <w:rPr>
                <w:rFonts w:ascii="Browallia New" w:hAnsi="Browallia New" w:cs="Browallia New"/>
                <w:sz w:val="28"/>
                <w:szCs w:val="28"/>
              </w:rPr>
              <w:t>Percentage of Respondents</w:t>
            </w:r>
          </w:p>
        </w:tc>
      </w:tr>
      <w:tr w:rsidR="00D820AD" w:rsidRPr="00F46D57" w14:paraId="585E3DE5"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6" w:type="dxa"/>
            <w:tcBorders>
              <w:top w:val="none" w:sz="0" w:space="0" w:color="auto"/>
              <w:bottom w:val="none" w:sz="0" w:space="0" w:color="auto"/>
              <w:right w:val="none" w:sz="0" w:space="0" w:color="auto"/>
            </w:tcBorders>
          </w:tcPr>
          <w:p w14:paraId="1BD42035" w14:textId="77777777" w:rsidR="00D820AD" w:rsidRPr="00606007" w:rsidRDefault="00D820AD" w:rsidP="00D820AD">
            <w:pPr>
              <w:rPr>
                <w:rFonts w:ascii="Browallia New" w:hAnsi="Browallia New" w:cs="Browallia New"/>
                <w:color w:val="835D00" w:themeColor="accent2" w:themeShade="80"/>
              </w:rPr>
            </w:pPr>
            <w:r w:rsidRPr="00606007">
              <w:rPr>
                <w:rFonts w:ascii="Browallia New" w:hAnsi="Browallia New" w:cs="Browallia New"/>
                <w:color w:val="835D00" w:themeColor="accent2" w:themeShade="80"/>
              </w:rPr>
              <w:t xml:space="preserve">     $0 &lt;x </w:t>
            </w:r>
            <w:r w:rsidRPr="00606007">
              <w:rPr>
                <w:rFonts w:ascii="Browallia New" w:hAnsi="Browallia New" w:cs="Browallia New"/>
                <w:color w:val="835D00" w:themeColor="accent2" w:themeShade="80"/>
                <w:u w:val="single"/>
              </w:rPr>
              <w:t>&lt;</w:t>
            </w:r>
            <w:r w:rsidRPr="00606007">
              <w:rPr>
                <w:rFonts w:ascii="Browallia New" w:hAnsi="Browallia New" w:cs="Browallia New"/>
                <w:color w:val="835D00" w:themeColor="accent2" w:themeShade="80"/>
              </w:rPr>
              <w:t xml:space="preserve"> $10 million</w:t>
            </w:r>
          </w:p>
        </w:tc>
        <w:tc>
          <w:tcPr>
            <w:tcW w:w="5644" w:type="dxa"/>
            <w:gridSpan w:val="2"/>
            <w:tcBorders>
              <w:top w:val="none" w:sz="0" w:space="0" w:color="auto"/>
              <w:bottom w:val="none" w:sz="0" w:space="0" w:color="auto"/>
            </w:tcBorders>
            <w:shd w:val="clear" w:color="auto" w:fill="FFFFFF" w:themeFill="background1"/>
          </w:tcPr>
          <w:p w14:paraId="33E44CAC" w14:textId="77777777" w:rsidR="00D820AD" w:rsidRPr="00606007"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606007">
              <w:rPr>
                <w:rFonts w:ascii="Browallia New" w:hAnsi="Browallia New" w:cs="Browallia New"/>
                <w:b/>
                <w:color w:val="835D00" w:themeColor="accent2" w:themeShade="80"/>
              </w:rPr>
              <w:t>12%</w:t>
            </w:r>
          </w:p>
        </w:tc>
      </w:tr>
      <w:tr w:rsidR="00D820AD" w:rsidRPr="00F46D57" w14:paraId="10D0D57C" w14:textId="77777777" w:rsidTr="00D820AD">
        <w:tc>
          <w:tcPr>
            <w:cnfStyle w:val="001000000000" w:firstRow="0" w:lastRow="0" w:firstColumn="1" w:lastColumn="0" w:oddVBand="0" w:evenVBand="0" w:oddHBand="0" w:evenHBand="0" w:firstRowFirstColumn="0" w:firstRowLastColumn="0" w:lastRowFirstColumn="0" w:lastRowLastColumn="0"/>
            <w:tcW w:w="3716" w:type="dxa"/>
            <w:tcBorders>
              <w:right w:val="none" w:sz="0" w:space="0" w:color="auto"/>
            </w:tcBorders>
          </w:tcPr>
          <w:p w14:paraId="32796B1C" w14:textId="77777777" w:rsidR="00D820AD" w:rsidRPr="00606007" w:rsidRDefault="00D820AD" w:rsidP="00D820AD">
            <w:pPr>
              <w:rPr>
                <w:rFonts w:ascii="Browallia New" w:hAnsi="Browallia New" w:cs="Browallia New"/>
                <w:color w:val="835D00" w:themeColor="accent2" w:themeShade="80"/>
              </w:rPr>
            </w:pPr>
            <w:r w:rsidRPr="00606007">
              <w:rPr>
                <w:rFonts w:ascii="Browallia New" w:hAnsi="Browallia New" w:cs="Browallia New"/>
                <w:color w:val="835D00" w:themeColor="accent2" w:themeShade="80"/>
              </w:rPr>
              <w:t xml:space="preserve">     $10 million &lt; x </w:t>
            </w:r>
            <w:r w:rsidRPr="00606007">
              <w:rPr>
                <w:rFonts w:ascii="Browallia New" w:hAnsi="Browallia New" w:cs="Browallia New"/>
                <w:color w:val="835D00" w:themeColor="accent2" w:themeShade="80"/>
                <w:u w:val="single"/>
              </w:rPr>
              <w:t>&lt;</w:t>
            </w:r>
            <w:r w:rsidRPr="00606007">
              <w:rPr>
                <w:rFonts w:ascii="Browallia New" w:hAnsi="Browallia New" w:cs="Browallia New"/>
                <w:color w:val="835D00" w:themeColor="accent2" w:themeShade="80"/>
              </w:rPr>
              <w:t xml:space="preserve"> $100 million</w:t>
            </w:r>
          </w:p>
        </w:tc>
        <w:tc>
          <w:tcPr>
            <w:tcW w:w="5644" w:type="dxa"/>
            <w:gridSpan w:val="2"/>
            <w:shd w:val="clear" w:color="auto" w:fill="FFFFFF" w:themeFill="background1"/>
          </w:tcPr>
          <w:p w14:paraId="770EE0BE" w14:textId="77777777" w:rsidR="00D820AD" w:rsidRPr="00606007"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r w:rsidRPr="00606007">
              <w:rPr>
                <w:rFonts w:ascii="Browallia New" w:hAnsi="Browallia New" w:cs="Browallia New"/>
                <w:b/>
                <w:color w:val="835D00" w:themeColor="accent2" w:themeShade="80"/>
              </w:rPr>
              <w:t>31%</w:t>
            </w:r>
          </w:p>
        </w:tc>
      </w:tr>
      <w:tr w:rsidR="00D820AD" w:rsidRPr="00F46D57" w14:paraId="6023897C"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6" w:type="dxa"/>
            <w:tcBorders>
              <w:top w:val="none" w:sz="0" w:space="0" w:color="auto"/>
              <w:bottom w:val="none" w:sz="0" w:space="0" w:color="auto"/>
              <w:right w:val="none" w:sz="0" w:space="0" w:color="auto"/>
            </w:tcBorders>
          </w:tcPr>
          <w:p w14:paraId="369A9E49" w14:textId="77777777" w:rsidR="00D820AD" w:rsidRPr="00606007" w:rsidRDefault="00D820AD" w:rsidP="00D820AD">
            <w:pPr>
              <w:rPr>
                <w:rFonts w:ascii="Browallia New" w:hAnsi="Browallia New" w:cs="Browallia New"/>
                <w:color w:val="835D00" w:themeColor="accent2" w:themeShade="80"/>
              </w:rPr>
            </w:pPr>
            <w:r w:rsidRPr="00606007">
              <w:rPr>
                <w:rFonts w:ascii="Browallia New" w:hAnsi="Browallia New" w:cs="Browallia New"/>
                <w:color w:val="835D00" w:themeColor="accent2" w:themeShade="80"/>
              </w:rPr>
              <w:t xml:space="preserve">     $100 million &lt; x </w:t>
            </w:r>
            <w:r w:rsidRPr="00606007">
              <w:rPr>
                <w:rFonts w:ascii="Browallia New" w:hAnsi="Browallia New" w:cs="Browallia New"/>
                <w:color w:val="835D00" w:themeColor="accent2" w:themeShade="80"/>
                <w:u w:val="single"/>
              </w:rPr>
              <w:t>&lt;</w:t>
            </w:r>
            <w:r w:rsidRPr="00606007">
              <w:rPr>
                <w:rFonts w:ascii="Browallia New" w:hAnsi="Browallia New" w:cs="Browallia New"/>
                <w:color w:val="835D00" w:themeColor="accent2" w:themeShade="80"/>
              </w:rPr>
              <w:t xml:space="preserve"> $500 million</w:t>
            </w:r>
          </w:p>
        </w:tc>
        <w:tc>
          <w:tcPr>
            <w:tcW w:w="5644" w:type="dxa"/>
            <w:gridSpan w:val="2"/>
            <w:tcBorders>
              <w:top w:val="none" w:sz="0" w:space="0" w:color="auto"/>
              <w:bottom w:val="none" w:sz="0" w:space="0" w:color="auto"/>
            </w:tcBorders>
            <w:shd w:val="clear" w:color="auto" w:fill="FFFFFF" w:themeFill="background1"/>
          </w:tcPr>
          <w:p w14:paraId="64B71EC0" w14:textId="77777777" w:rsidR="00D820AD" w:rsidRPr="00606007"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606007">
              <w:rPr>
                <w:rFonts w:ascii="Browallia New" w:hAnsi="Browallia New" w:cs="Browallia New"/>
                <w:b/>
                <w:color w:val="835D00" w:themeColor="accent2" w:themeShade="80"/>
              </w:rPr>
              <w:t>19%</w:t>
            </w:r>
          </w:p>
        </w:tc>
      </w:tr>
      <w:tr w:rsidR="00D820AD" w:rsidRPr="00F46D57" w14:paraId="52321A18" w14:textId="77777777" w:rsidTr="00D820AD">
        <w:tc>
          <w:tcPr>
            <w:cnfStyle w:val="001000000000" w:firstRow="0" w:lastRow="0" w:firstColumn="1" w:lastColumn="0" w:oddVBand="0" w:evenVBand="0" w:oddHBand="0" w:evenHBand="0" w:firstRowFirstColumn="0" w:firstRowLastColumn="0" w:lastRowFirstColumn="0" w:lastRowLastColumn="0"/>
            <w:tcW w:w="3716" w:type="dxa"/>
            <w:tcBorders>
              <w:right w:val="none" w:sz="0" w:space="0" w:color="auto"/>
            </w:tcBorders>
          </w:tcPr>
          <w:p w14:paraId="4E5E3CCD" w14:textId="77777777" w:rsidR="00D820AD" w:rsidRPr="00606007" w:rsidRDefault="00D820AD" w:rsidP="00D820AD">
            <w:pPr>
              <w:rPr>
                <w:rFonts w:ascii="Browallia New" w:hAnsi="Browallia New" w:cs="Browallia New"/>
                <w:color w:val="835D00" w:themeColor="accent2" w:themeShade="80"/>
              </w:rPr>
            </w:pPr>
            <w:r w:rsidRPr="00606007">
              <w:rPr>
                <w:rFonts w:ascii="Browallia New" w:hAnsi="Browallia New" w:cs="Browallia New"/>
                <w:color w:val="835D00" w:themeColor="accent2" w:themeShade="80"/>
              </w:rPr>
              <w:t xml:space="preserve">     $500 million &lt; x </w:t>
            </w:r>
            <w:r w:rsidRPr="00606007">
              <w:rPr>
                <w:rFonts w:ascii="Browallia New" w:hAnsi="Browallia New" w:cs="Browallia New"/>
                <w:color w:val="835D00" w:themeColor="accent2" w:themeShade="80"/>
                <w:u w:val="single"/>
              </w:rPr>
              <w:t>&lt;</w:t>
            </w:r>
            <w:r w:rsidRPr="00606007">
              <w:rPr>
                <w:rFonts w:ascii="Browallia New" w:hAnsi="Browallia New" w:cs="Browallia New"/>
                <w:color w:val="835D00" w:themeColor="accent2" w:themeShade="80"/>
              </w:rPr>
              <w:t xml:space="preserve"> $1 billion</w:t>
            </w:r>
          </w:p>
        </w:tc>
        <w:tc>
          <w:tcPr>
            <w:tcW w:w="5644" w:type="dxa"/>
            <w:gridSpan w:val="2"/>
            <w:shd w:val="clear" w:color="auto" w:fill="FFFFFF" w:themeFill="background1"/>
          </w:tcPr>
          <w:p w14:paraId="104F6DC0" w14:textId="77777777" w:rsidR="00D820AD" w:rsidRPr="00606007"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r w:rsidRPr="00606007">
              <w:rPr>
                <w:rFonts w:ascii="Browallia New" w:hAnsi="Browallia New" w:cs="Browallia New"/>
                <w:b/>
                <w:color w:val="835D00" w:themeColor="accent2" w:themeShade="80"/>
              </w:rPr>
              <w:t>9%</w:t>
            </w:r>
          </w:p>
        </w:tc>
      </w:tr>
      <w:tr w:rsidR="00D820AD" w:rsidRPr="00F46D57" w14:paraId="277FCC06"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6" w:type="dxa"/>
            <w:tcBorders>
              <w:top w:val="none" w:sz="0" w:space="0" w:color="auto"/>
              <w:bottom w:val="none" w:sz="0" w:space="0" w:color="auto"/>
              <w:right w:val="none" w:sz="0" w:space="0" w:color="auto"/>
            </w:tcBorders>
          </w:tcPr>
          <w:p w14:paraId="671FDF29" w14:textId="77777777" w:rsidR="00D820AD" w:rsidRPr="00606007" w:rsidRDefault="00D820AD" w:rsidP="00D820AD">
            <w:pPr>
              <w:rPr>
                <w:rFonts w:ascii="Browallia New" w:hAnsi="Browallia New" w:cs="Browallia New"/>
                <w:color w:val="835D00" w:themeColor="accent2" w:themeShade="80"/>
              </w:rPr>
            </w:pPr>
            <w:r w:rsidRPr="00606007">
              <w:rPr>
                <w:rFonts w:ascii="Browallia New" w:hAnsi="Browallia New" w:cs="Browallia New"/>
                <w:color w:val="835D00" w:themeColor="accent2" w:themeShade="80"/>
              </w:rPr>
              <w:t xml:space="preserve">     $1 billion &lt; x </w:t>
            </w:r>
            <w:r w:rsidRPr="00606007">
              <w:rPr>
                <w:rFonts w:ascii="Browallia New" w:hAnsi="Browallia New" w:cs="Browallia New"/>
                <w:color w:val="835D00" w:themeColor="accent2" w:themeShade="80"/>
                <w:u w:val="single"/>
              </w:rPr>
              <w:t>&lt;</w:t>
            </w:r>
            <w:r w:rsidRPr="00606007">
              <w:rPr>
                <w:rFonts w:ascii="Browallia New" w:hAnsi="Browallia New" w:cs="Browallia New"/>
                <w:color w:val="835D00" w:themeColor="accent2" w:themeShade="80"/>
              </w:rPr>
              <w:t xml:space="preserve"> $2 billion</w:t>
            </w:r>
          </w:p>
        </w:tc>
        <w:tc>
          <w:tcPr>
            <w:tcW w:w="5644" w:type="dxa"/>
            <w:gridSpan w:val="2"/>
            <w:tcBorders>
              <w:top w:val="none" w:sz="0" w:space="0" w:color="auto"/>
              <w:bottom w:val="none" w:sz="0" w:space="0" w:color="auto"/>
            </w:tcBorders>
            <w:shd w:val="clear" w:color="auto" w:fill="FFFFFF" w:themeFill="background1"/>
          </w:tcPr>
          <w:p w14:paraId="4CC11CEF" w14:textId="77777777" w:rsidR="00D820AD" w:rsidRPr="00606007"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606007">
              <w:rPr>
                <w:rFonts w:ascii="Browallia New" w:hAnsi="Browallia New" w:cs="Browallia New"/>
                <w:b/>
                <w:color w:val="835D00" w:themeColor="accent2" w:themeShade="80"/>
              </w:rPr>
              <w:t>7%</w:t>
            </w:r>
          </w:p>
        </w:tc>
      </w:tr>
      <w:tr w:rsidR="00D820AD" w:rsidRPr="00F46D57" w14:paraId="0D2AC035" w14:textId="77777777" w:rsidTr="00D820AD">
        <w:tc>
          <w:tcPr>
            <w:cnfStyle w:val="001000000000" w:firstRow="0" w:lastRow="0" w:firstColumn="1" w:lastColumn="0" w:oddVBand="0" w:evenVBand="0" w:oddHBand="0" w:evenHBand="0" w:firstRowFirstColumn="0" w:firstRowLastColumn="0" w:lastRowFirstColumn="0" w:lastRowLastColumn="0"/>
            <w:tcW w:w="3716" w:type="dxa"/>
            <w:tcBorders>
              <w:right w:val="none" w:sz="0" w:space="0" w:color="auto"/>
            </w:tcBorders>
          </w:tcPr>
          <w:p w14:paraId="6CC2DBCB" w14:textId="77777777" w:rsidR="00D820AD" w:rsidRPr="00606007" w:rsidRDefault="00D820AD" w:rsidP="00D820AD">
            <w:pPr>
              <w:rPr>
                <w:rFonts w:ascii="Browallia New" w:hAnsi="Browallia New" w:cs="Browallia New"/>
                <w:color w:val="835D00" w:themeColor="accent2" w:themeShade="80"/>
              </w:rPr>
            </w:pPr>
            <w:r w:rsidRPr="00606007">
              <w:rPr>
                <w:rFonts w:ascii="Browallia New" w:hAnsi="Browallia New" w:cs="Browallia New"/>
                <w:color w:val="835D00" w:themeColor="accent2" w:themeShade="80"/>
              </w:rPr>
              <w:t xml:space="preserve">     $2 billion &lt; x </w:t>
            </w:r>
            <w:r w:rsidRPr="00606007">
              <w:rPr>
                <w:rFonts w:ascii="Browallia New" w:hAnsi="Browallia New" w:cs="Browallia New"/>
                <w:color w:val="835D00" w:themeColor="accent2" w:themeShade="80"/>
                <w:u w:val="single"/>
              </w:rPr>
              <w:t>&lt;</w:t>
            </w:r>
            <w:r w:rsidRPr="00606007">
              <w:rPr>
                <w:rFonts w:ascii="Browallia New" w:hAnsi="Browallia New" w:cs="Browallia New"/>
                <w:color w:val="835D00" w:themeColor="accent2" w:themeShade="80"/>
              </w:rPr>
              <w:t xml:space="preserve"> $10 billion</w:t>
            </w:r>
          </w:p>
        </w:tc>
        <w:tc>
          <w:tcPr>
            <w:tcW w:w="5644" w:type="dxa"/>
            <w:gridSpan w:val="2"/>
            <w:shd w:val="clear" w:color="auto" w:fill="FFFFFF" w:themeFill="background1"/>
          </w:tcPr>
          <w:p w14:paraId="0A76DDE1" w14:textId="77777777" w:rsidR="00D820AD" w:rsidRPr="00606007" w:rsidRDefault="00D820AD" w:rsidP="00D820AD">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color w:val="835D00" w:themeColor="accent2" w:themeShade="80"/>
              </w:rPr>
            </w:pPr>
            <w:r w:rsidRPr="00606007">
              <w:rPr>
                <w:rFonts w:ascii="Browallia New" w:hAnsi="Browallia New" w:cs="Browallia New"/>
                <w:b/>
                <w:color w:val="835D00" w:themeColor="accent2" w:themeShade="80"/>
              </w:rPr>
              <w:t>12%</w:t>
            </w:r>
          </w:p>
        </w:tc>
      </w:tr>
      <w:tr w:rsidR="00D820AD" w:rsidRPr="00F46D57" w14:paraId="21D4D91F" w14:textId="77777777" w:rsidTr="00D82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6" w:type="dxa"/>
            <w:tcBorders>
              <w:top w:val="none" w:sz="0" w:space="0" w:color="auto"/>
              <w:bottom w:val="none" w:sz="0" w:space="0" w:color="auto"/>
              <w:right w:val="none" w:sz="0" w:space="0" w:color="auto"/>
            </w:tcBorders>
          </w:tcPr>
          <w:p w14:paraId="3C1C5EF6" w14:textId="77777777" w:rsidR="00D820AD" w:rsidRPr="00606007" w:rsidRDefault="00D820AD" w:rsidP="00D820AD">
            <w:pPr>
              <w:rPr>
                <w:rFonts w:ascii="Browallia New" w:hAnsi="Browallia New" w:cs="Browallia New"/>
                <w:color w:val="835D00" w:themeColor="accent2" w:themeShade="80"/>
              </w:rPr>
            </w:pPr>
            <w:r w:rsidRPr="00606007">
              <w:rPr>
                <w:rFonts w:ascii="Browallia New" w:hAnsi="Browallia New" w:cs="Browallia New"/>
                <w:color w:val="835D00" w:themeColor="accent2" w:themeShade="80"/>
              </w:rPr>
              <w:t xml:space="preserve">     x &gt; $10 billion</w:t>
            </w:r>
          </w:p>
        </w:tc>
        <w:tc>
          <w:tcPr>
            <w:tcW w:w="5644" w:type="dxa"/>
            <w:gridSpan w:val="2"/>
            <w:tcBorders>
              <w:top w:val="none" w:sz="0" w:space="0" w:color="auto"/>
              <w:bottom w:val="none" w:sz="0" w:space="0" w:color="auto"/>
            </w:tcBorders>
            <w:shd w:val="clear" w:color="auto" w:fill="FFFFFF" w:themeFill="background1"/>
          </w:tcPr>
          <w:p w14:paraId="2773D591" w14:textId="77777777" w:rsidR="00D820AD" w:rsidRPr="00606007" w:rsidRDefault="00D820AD" w:rsidP="00D820AD">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s="Browallia New"/>
                <w:b/>
                <w:color w:val="835D00" w:themeColor="accent2" w:themeShade="80"/>
              </w:rPr>
            </w:pPr>
            <w:r w:rsidRPr="00606007">
              <w:rPr>
                <w:rFonts w:ascii="Browallia New" w:hAnsi="Browallia New" w:cs="Browallia New"/>
                <w:b/>
                <w:color w:val="835D00" w:themeColor="accent2" w:themeShade="80"/>
              </w:rPr>
              <w:t>10%</w:t>
            </w:r>
          </w:p>
        </w:tc>
      </w:tr>
    </w:tbl>
    <w:p w14:paraId="7D9A2BA3" w14:textId="77777777" w:rsidR="00D820AD" w:rsidRPr="00F46D57" w:rsidRDefault="00D820AD" w:rsidP="00D820AD">
      <w:pPr>
        <w:rPr>
          <w:rFonts w:ascii="Browallia New" w:hAnsi="Browallia New" w:cs="Browallia New"/>
        </w:rPr>
      </w:pPr>
    </w:p>
    <w:p w14:paraId="1E8900F5" w14:textId="77777777" w:rsidR="00905863" w:rsidRPr="00556EBB" w:rsidRDefault="00D820AD" w:rsidP="00556EBB">
      <w:pPr>
        <w:spacing w:line="204" w:lineRule="auto"/>
        <w:jc w:val="both"/>
        <w:rPr>
          <w:rFonts w:ascii="Browallia New" w:hAnsi="Browallia New" w:cs="Browallia New"/>
          <w:b/>
          <w:sz w:val="28"/>
          <w:szCs w:val="28"/>
          <w:u w:val="single"/>
        </w:rPr>
      </w:pPr>
      <w:proofErr w:type="gramStart"/>
      <w:r w:rsidRPr="00556EBB">
        <w:rPr>
          <w:rFonts w:ascii="Browallia New" w:hAnsi="Browallia New" w:cs="Browallia New"/>
          <w:sz w:val="28"/>
          <w:szCs w:val="28"/>
        </w:rPr>
        <w:t>Throughout</w:t>
      </w:r>
      <w:proofErr w:type="gramEnd"/>
      <w:r w:rsidRPr="00556EBB">
        <w:rPr>
          <w:rFonts w:ascii="Browallia New" w:hAnsi="Browallia New" w:cs="Browallia New"/>
          <w:sz w:val="28"/>
          <w:szCs w:val="28"/>
        </w:rPr>
        <w:t xml:space="preserve"> this report, we highlight selected findings that are notably different for the 130 largest organizations in our sample, which represent those with revenues greater than $1 billion. Additionally, we also provide selected findings for the 138 </w:t>
      </w:r>
      <w:proofErr w:type="gramStart"/>
      <w:r w:rsidRPr="00556EBB">
        <w:rPr>
          <w:rFonts w:ascii="Browallia New" w:hAnsi="Browallia New" w:cs="Browallia New"/>
          <w:sz w:val="28"/>
          <w:szCs w:val="28"/>
        </w:rPr>
        <w:t>publicly-traded</w:t>
      </w:r>
      <w:proofErr w:type="gramEnd"/>
      <w:r w:rsidRPr="00556EBB">
        <w:rPr>
          <w:rFonts w:ascii="Browallia New" w:hAnsi="Browallia New" w:cs="Browallia New"/>
          <w:sz w:val="28"/>
          <w:szCs w:val="28"/>
        </w:rPr>
        <w:t xml:space="preserve"> companies, 137 financial services entities, and 103 not-for-profit organizations included in our sample.</w:t>
      </w:r>
    </w:p>
    <w:p w14:paraId="08F66A7C" w14:textId="77777777" w:rsidR="00905863" w:rsidRPr="00F46D57" w:rsidRDefault="00905863">
      <w:pPr>
        <w:rPr>
          <w:rFonts w:ascii="Browallia New" w:hAnsi="Browallia New" w:cs="Browallia New"/>
          <w:b/>
          <w:u w:val="single"/>
        </w:rPr>
      </w:pPr>
      <w:r w:rsidRPr="00F46D57">
        <w:rPr>
          <w:rFonts w:ascii="Browallia New" w:hAnsi="Browallia New" w:cs="Browallia New"/>
          <w:b/>
          <w:u w:val="single"/>
        </w:rPr>
        <w:br w:type="page"/>
      </w:r>
    </w:p>
    <w:p w14:paraId="705FC25A" w14:textId="77777777" w:rsidR="00970A66" w:rsidRPr="006A1779" w:rsidRDefault="00970A66" w:rsidP="00E12ABA">
      <w:pPr>
        <w:shd w:val="clear" w:color="auto" w:fill="0070C0"/>
        <w:spacing w:after="0" w:line="240" w:lineRule="auto"/>
        <w:rPr>
          <w:rFonts w:ascii="Browallia New" w:hAnsi="Browallia New" w:cs="Browallia New"/>
          <w:b/>
          <w:color w:val="FFFFFF" w:themeColor="background1"/>
          <w:sz w:val="36"/>
          <w:szCs w:val="36"/>
        </w:rPr>
      </w:pPr>
      <w:r w:rsidRPr="006A1779">
        <w:rPr>
          <w:rFonts w:ascii="Browallia New" w:hAnsi="Browallia New" w:cs="Browallia New"/>
          <w:b/>
          <w:color w:val="FFFFFF" w:themeColor="background1"/>
          <w:sz w:val="36"/>
          <w:szCs w:val="36"/>
        </w:rPr>
        <w:lastRenderedPageBreak/>
        <w:t>A</w:t>
      </w:r>
      <w:r w:rsidR="00556EBB">
        <w:rPr>
          <w:rFonts w:ascii="Browallia New" w:hAnsi="Browallia New" w:cs="Browallia New"/>
          <w:b/>
          <w:color w:val="FFFFFF" w:themeColor="background1"/>
          <w:sz w:val="36"/>
          <w:szCs w:val="36"/>
        </w:rPr>
        <w:t>UTHOR BIOS</w:t>
      </w:r>
    </w:p>
    <w:p w14:paraId="24AFF673" w14:textId="77777777" w:rsidR="00970A66" w:rsidRPr="00F46D57" w:rsidRDefault="00970A66" w:rsidP="008A2E6D">
      <w:pPr>
        <w:pStyle w:val="NormalWeb"/>
        <w:jc w:val="both"/>
        <w:rPr>
          <w:rFonts w:ascii="Browallia New" w:hAnsi="Browallia New" w:cs="Browallia New"/>
          <w:color w:val="auto"/>
          <w:sz w:val="22"/>
          <w:szCs w:val="22"/>
        </w:rPr>
      </w:pPr>
    </w:p>
    <w:p w14:paraId="0D8E6815" w14:textId="77777777" w:rsidR="00626978" w:rsidRPr="00556EBB" w:rsidRDefault="00970A66" w:rsidP="00556EBB">
      <w:pPr>
        <w:pStyle w:val="NormalWeb"/>
        <w:spacing w:after="200" w:line="204" w:lineRule="auto"/>
        <w:jc w:val="both"/>
        <w:rPr>
          <w:rFonts w:ascii="Browallia New" w:hAnsi="Browallia New" w:cs="Browallia New"/>
          <w:color w:val="auto"/>
          <w:sz w:val="28"/>
          <w:szCs w:val="28"/>
        </w:rPr>
      </w:pPr>
      <w:r w:rsidRPr="00556EBB">
        <w:rPr>
          <w:rFonts w:ascii="Browallia New" w:hAnsi="Browallia New" w:cs="Browallia New"/>
          <w:color w:val="auto"/>
          <w:sz w:val="28"/>
          <w:szCs w:val="28"/>
        </w:rPr>
        <w:t xml:space="preserve">All three authors serve in leadership positions within the Enterprise Risk </w:t>
      </w:r>
      <w:hyperlink w:history="1"/>
      <w:r w:rsidRPr="00556EBB">
        <w:rPr>
          <w:rFonts w:ascii="Browallia New" w:hAnsi="Browallia New" w:cs="Browallia New"/>
          <w:color w:val="auto"/>
          <w:sz w:val="28"/>
          <w:szCs w:val="28"/>
        </w:rPr>
        <w:t>Management (ERM) Initiative at NC State University (</w:t>
      </w:r>
      <w:r w:rsidR="00F13135" w:rsidRPr="00556EBB">
        <w:rPr>
          <w:rFonts w:ascii="Browallia New" w:hAnsi="Browallia New" w:cs="Browallia New"/>
          <w:color w:val="auto"/>
          <w:sz w:val="28"/>
          <w:szCs w:val="28"/>
        </w:rPr>
        <w:t>http://</w:t>
      </w:r>
      <w:hyperlink r:id="rId30" w:history="1">
        <w:r w:rsidRPr="00556EBB">
          <w:rPr>
            <w:rStyle w:val="Hyperlink"/>
            <w:rFonts w:ascii="Browallia New" w:hAnsi="Browallia New" w:cs="Browallia New"/>
            <w:color w:val="auto"/>
            <w:sz w:val="28"/>
            <w:szCs w:val="28"/>
          </w:rPr>
          <w:t>www.erm.ncsu.edu</w:t>
        </w:r>
      </w:hyperlink>
      <w:r w:rsidRPr="00556EBB">
        <w:rPr>
          <w:rFonts w:ascii="Browallia New" w:hAnsi="Browallia New" w:cs="Browallia New"/>
          <w:color w:val="auto"/>
          <w:sz w:val="28"/>
          <w:szCs w:val="28"/>
        </w:rPr>
        <w:t xml:space="preserve">) The ERM Initiative provides thought leadership about ERM practices and their integration with strategy and corporate governance. Faculty in the ERM Initiative frequently </w:t>
      </w:r>
      <w:proofErr w:type="gramStart"/>
      <w:r w:rsidRPr="00556EBB">
        <w:rPr>
          <w:rFonts w:ascii="Browallia New" w:hAnsi="Browallia New" w:cs="Browallia New"/>
          <w:color w:val="auto"/>
          <w:sz w:val="28"/>
          <w:szCs w:val="28"/>
        </w:rPr>
        <w:t>work</w:t>
      </w:r>
      <w:proofErr w:type="gramEnd"/>
      <w:r w:rsidRPr="00556EBB">
        <w:rPr>
          <w:rFonts w:ascii="Browallia New" w:hAnsi="Browallia New" w:cs="Browallia New"/>
          <w:color w:val="auto"/>
          <w:sz w:val="28"/>
          <w:szCs w:val="28"/>
        </w:rPr>
        <w:t xml:space="preserve"> with boards of directors and senior management teams helping them link ERM to strategy and governance. </w:t>
      </w:r>
    </w:p>
    <w:p w14:paraId="2B3B99FD" w14:textId="77777777" w:rsidR="00626978" w:rsidRPr="00556EBB" w:rsidRDefault="00626978" w:rsidP="00556EBB">
      <w:pPr>
        <w:pStyle w:val="NormalWeb"/>
        <w:widowControl w:val="0"/>
        <w:spacing w:after="200" w:line="204" w:lineRule="auto"/>
        <w:jc w:val="both"/>
        <w:rPr>
          <w:rFonts w:ascii="Browallia New" w:hAnsi="Browallia New" w:cs="Browallia New"/>
          <w:color w:val="auto"/>
          <w:sz w:val="28"/>
          <w:szCs w:val="28"/>
        </w:rPr>
      </w:pPr>
      <w:r w:rsidRPr="003B1178">
        <w:rPr>
          <w:rFonts w:ascii="Browallia New" w:hAnsi="Browallia New" w:cs="Browallia New"/>
          <w:b/>
          <w:color w:val="auto"/>
          <w:sz w:val="28"/>
          <w:szCs w:val="28"/>
        </w:rPr>
        <w:t>Mark S. Beasley, CPA, Ph.D.,</w:t>
      </w:r>
      <w:r w:rsidRPr="00556EBB">
        <w:rPr>
          <w:rFonts w:ascii="Browallia New" w:hAnsi="Browallia New" w:cs="Browallia New"/>
          <w:color w:val="C48B01" w:themeColor="accent2" w:themeShade="BF"/>
          <w:sz w:val="28"/>
          <w:szCs w:val="28"/>
        </w:rPr>
        <w:t xml:space="preserve"> </w:t>
      </w:r>
      <w:r w:rsidRPr="00556EBB">
        <w:rPr>
          <w:rFonts w:ascii="Browallia New" w:hAnsi="Browallia New" w:cs="Browallia New"/>
          <w:color w:val="auto"/>
          <w:sz w:val="28"/>
          <w:szCs w:val="28"/>
        </w:rPr>
        <w:t xml:space="preserve">is the Deloitte Professor of Enterprise Risk Management and </w:t>
      </w:r>
      <w:r w:rsidR="00114F3F" w:rsidRPr="00556EBB">
        <w:rPr>
          <w:rFonts w:ascii="Browallia New" w:hAnsi="Browallia New" w:cs="Browallia New"/>
          <w:color w:val="auto"/>
          <w:sz w:val="28"/>
          <w:szCs w:val="28"/>
        </w:rPr>
        <w:t>D</w:t>
      </w:r>
      <w:r w:rsidRPr="00556EBB">
        <w:rPr>
          <w:rFonts w:ascii="Browallia New" w:hAnsi="Browallia New" w:cs="Browallia New"/>
          <w:color w:val="auto"/>
          <w:sz w:val="28"/>
          <w:szCs w:val="28"/>
        </w:rPr>
        <w:t>irector of the ERM Initiative at N</w:t>
      </w:r>
      <w:r w:rsidR="00867929" w:rsidRPr="00556EBB">
        <w:rPr>
          <w:rFonts w:ascii="Browallia New" w:hAnsi="Browallia New" w:cs="Browallia New"/>
          <w:color w:val="auto"/>
          <w:sz w:val="28"/>
          <w:szCs w:val="28"/>
        </w:rPr>
        <w:t>C</w:t>
      </w:r>
      <w:r w:rsidRPr="00556EBB">
        <w:rPr>
          <w:rFonts w:ascii="Browallia New" w:hAnsi="Browallia New" w:cs="Browallia New"/>
          <w:color w:val="auto"/>
          <w:sz w:val="28"/>
          <w:szCs w:val="28"/>
        </w:rPr>
        <w:t xml:space="preserve"> State University. He specializes in the study of enterprise risk management, corporate governance, financial statement fraud, and the financial reporting process. He </w:t>
      </w:r>
      <w:r w:rsidR="00A12F15" w:rsidRPr="00556EBB">
        <w:rPr>
          <w:rFonts w:ascii="Browallia New" w:hAnsi="Browallia New" w:cs="Browallia New"/>
          <w:color w:val="auto"/>
          <w:sz w:val="28"/>
          <w:szCs w:val="28"/>
        </w:rPr>
        <w:t>completed over seve</w:t>
      </w:r>
      <w:r w:rsidR="003D16F0" w:rsidRPr="00556EBB">
        <w:rPr>
          <w:rFonts w:ascii="Browallia New" w:hAnsi="Browallia New" w:cs="Browallia New"/>
          <w:color w:val="auto"/>
          <w:sz w:val="28"/>
          <w:szCs w:val="28"/>
        </w:rPr>
        <w:t>n</w:t>
      </w:r>
      <w:r w:rsidR="00A12F15" w:rsidRPr="00556EBB">
        <w:rPr>
          <w:rFonts w:ascii="Browallia New" w:hAnsi="Browallia New" w:cs="Browallia New"/>
          <w:color w:val="auto"/>
          <w:sz w:val="28"/>
          <w:szCs w:val="28"/>
        </w:rPr>
        <w:t xml:space="preserve"> years of service a</w:t>
      </w:r>
      <w:r w:rsidRPr="00556EBB">
        <w:rPr>
          <w:rFonts w:ascii="Browallia New" w:hAnsi="Browallia New" w:cs="Browallia New"/>
          <w:color w:val="auto"/>
          <w:sz w:val="28"/>
          <w:szCs w:val="28"/>
        </w:rPr>
        <w:t>s a board member of the Committee of Sponsoring Organizations of the Treadway Commission (</w:t>
      </w:r>
      <w:r w:rsidRPr="00556EBB">
        <w:rPr>
          <w:rStyle w:val="caps"/>
          <w:rFonts w:ascii="Browallia New" w:hAnsi="Browallia New" w:cs="Browallia New"/>
          <w:color w:val="auto"/>
          <w:sz w:val="28"/>
          <w:szCs w:val="28"/>
        </w:rPr>
        <w:t>COSO</w:t>
      </w:r>
      <w:r w:rsidRPr="00556EBB">
        <w:rPr>
          <w:rFonts w:ascii="Browallia New" w:hAnsi="Browallia New" w:cs="Browallia New"/>
          <w:color w:val="auto"/>
          <w:sz w:val="28"/>
          <w:szCs w:val="28"/>
        </w:rPr>
        <w:t xml:space="preserve">) and has served on </w:t>
      </w:r>
      <w:r w:rsidR="009B5707" w:rsidRPr="00556EBB">
        <w:rPr>
          <w:rFonts w:ascii="Browallia New" w:hAnsi="Browallia New" w:cs="Browallia New"/>
          <w:color w:val="auto"/>
          <w:sz w:val="28"/>
          <w:szCs w:val="28"/>
        </w:rPr>
        <w:t xml:space="preserve">other national-level task forces related to risk management issues. </w:t>
      </w:r>
      <w:r w:rsidR="00633F60">
        <w:rPr>
          <w:rFonts w:ascii="Browallia New" w:hAnsi="Browallia New" w:cs="Browallia New"/>
          <w:color w:val="auto"/>
          <w:sz w:val="28"/>
          <w:szCs w:val="28"/>
        </w:rPr>
        <w:t xml:space="preserve">Currently, he is a member of the United Nation’s Internal Control Advisory Group. </w:t>
      </w:r>
      <w:r w:rsidR="009B5707" w:rsidRPr="00556EBB">
        <w:rPr>
          <w:rFonts w:ascii="Browallia New" w:hAnsi="Browallia New" w:cs="Browallia New"/>
          <w:color w:val="auto"/>
          <w:sz w:val="28"/>
          <w:szCs w:val="28"/>
        </w:rPr>
        <w:t xml:space="preserve">He </w:t>
      </w:r>
      <w:r w:rsidR="00E24AB1">
        <w:rPr>
          <w:rFonts w:ascii="Browallia New" w:hAnsi="Browallia New" w:cs="Browallia New"/>
          <w:color w:val="auto"/>
          <w:sz w:val="28"/>
          <w:szCs w:val="28"/>
        </w:rPr>
        <w:t>consults with</w:t>
      </w:r>
      <w:r w:rsidR="009B5707" w:rsidRPr="00556EBB">
        <w:rPr>
          <w:rFonts w:ascii="Browallia New" w:hAnsi="Browallia New" w:cs="Browallia New"/>
          <w:color w:val="auto"/>
          <w:sz w:val="28"/>
          <w:szCs w:val="28"/>
        </w:rPr>
        <w:t xml:space="preserve"> boards and senior executive teams on risk governance issues, is a frequent speaker at national and international levels, and has published over </w:t>
      </w:r>
      <w:r w:rsidR="00E11319" w:rsidRPr="00556EBB">
        <w:rPr>
          <w:rFonts w:ascii="Browallia New" w:hAnsi="Browallia New" w:cs="Browallia New"/>
          <w:color w:val="auto"/>
          <w:sz w:val="28"/>
          <w:szCs w:val="28"/>
        </w:rPr>
        <w:t>9</w:t>
      </w:r>
      <w:r w:rsidR="009B5707" w:rsidRPr="00556EBB">
        <w:rPr>
          <w:rFonts w:ascii="Browallia New" w:hAnsi="Browallia New" w:cs="Browallia New"/>
          <w:color w:val="auto"/>
          <w:sz w:val="28"/>
          <w:szCs w:val="28"/>
        </w:rPr>
        <w:t>0 articles, research monographs, books, and other thought-related p</w:t>
      </w:r>
      <w:r w:rsidR="00E11319" w:rsidRPr="00556EBB">
        <w:rPr>
          <w:rFonts w:ascii="Browallia New" w:hAnsi="Browallia New" w:cs="Browallia New"/>
          <w:color w:val="auto"/>
          <w:sz w:val="28"/>
          <w:szCs w:val="28"/>
        </w:rPr>
        <w:t>ublications</w:t>
      </w:r>
      <w:r w:rsidR="009B5707" w:rsidRPr="00556EBB">
        <w:rPr>
          <w:rFonts w:ascii="Browallia New" w:hAnsi="Browallia New" w:cs="Browallia New"/>
          <w:color w:val="auto"/>
          <w:sz w:val="28"/>
          <w:szCs w:val="28"/>
        </w:rPr>
        <w:t xml:space="preserve">. </w:t>
      </w:r>
      <w:r w:rsidRPr="00556EBB">
        <w:rPr>
          <w:rFonts w:ascii="Browallia New" w:hAnsi="Browallia New" w:cs="Browallia New"/>
          <w:color w:val="auto"/>
          <w:sz w:val="28"/>
          <w:szCs w:val="28"/>
        </w:rPr>
        <w:t>He earned his Ph.D. at Michigan State University.</w:t>
      </w:r>
    </w:p>
    <w:p w14:paraId="288F46C5" w14:textId="77777777" w:rsidR="00626978" w:rsidRPr="00556EBB" w:rsidRDefault="00626978" w:rsidP="00556EBB">
      <w:pPr>
        <w:pStyle w:val="NormalWeb"/>
        <w:widowControl w:val="0"/>
        <w:spacing w:after="200" w:line="204" w:lineRule="auto"/>
        <w:jc w:val="both"/>
        <w:rPr>
          <w:rFonts w:ascii="Browallia New" w:hAnsi="Browallia New" w:cs="Browallia New"/>
          <w:color w:val="auto"/>
          <w:sz w:val="28"/>
          <w:szCs w:val="28"/>
        </w:rPr>
      </w:pPr>
      <w:r w:rsidRPr="003B1178">
        <w:rPr>
          <w:rFonts w:ascii="Browallia New" w:hAnsi="Browallia New" w:cs="Browallia New"/>
          <w:b/>
          <w:color w:val="auto"/>
          <w:sz w:val="28"/>
          <w:szCs w:val="28"/>
        </w:rPr>
        <w:t>Bruce C. Branson, Ph.D.,</w:t>
      </w:r>
      <w:r w:rsidRPr="00556EBB">
        <w:rPr>
          <w:rFonts w:ascii="Browallia New" w:hAnsi="Browallia New" w:cs="Browallia New"/>
          <w:color w:val="auto"/>
          <w:sz w:val="28"/>
          <w:szCs w:val="28"/>
        </w:rPr>
        <w:t xml:space="preserve"> is </w:t>
      </w:r>
      <w:r w:rsidR="00AD2974" w:rsidRPr="00556EBB">
        <w:rPr>
          <w:rFonts w:ascii="Browallia New" w:hAnsi="Browallia New" w:cs="Browallia New"/>
          <w:color w:val="auto"/>
          <w:sz w:val="28"/>
          <w:szCs w:val="28"/>
        </w:rPr>
        <w:t xml:space="preserve">an Alumni Distinguished </w:t>
      </w:r>
      <w:r w:rsidR="00114F3F" w:rsidRPr="00556EBB">
        <w:rPr>
          <w:rFonts w:ascii="Browallia New" w:hAnsi="Browallia New" w:cs="Browallia New"/>
          <w:color w:val="auto"/>
          <w:sz w:val="28"/>
          <w:szCs w:val="28"/>
        </w:rPr>
        <w:t>P</w:t>
      </w:r>
      <w:r w:rsidRPr="00556EBB">
        <w:rPr>
          <w:rFonts w:ascii="Browallia New" w:hAnsi="Browallia New" w:cs="Browallia New"/>
          <w:color w:val="auto"/>
          <w:sz w:val="28"/>
          <w:szCs w:val="28"/>
        </w:rPr>
        <w:t xml:space="preserve">rofessor of </w:t>
      </w:r>
      <w:r w:rsidR="005827B7" w:rsidRPr="00556EBB">
        <w:rPr>
          <w:rFonts w:ascii="Browallia New" w:hAnsi="Browallia New" w:cs="Browallia New"/>
          <w:color w:val="auto"/>
          <w:sz w:val="28"/>
          <w:szCs w:val="28"/>
        </w:rPr>
        <w:t>A</w:t>
      </w:r>
      <w:r w:rsidRPr="00556EBB">
        <w:rPr>
          <w:rFonts w:ascii="Browallia New" w:hAnsi="Browallia New" w:cs="Browallia New"/>
          <w:color w:val="auto"/>
          <w:sz w:val="28"/>
          <w:szCs w:val="28"/>
        </w:rPr>
        <w:t xml:space="preserve">ccounting and </w:t>
      </w:r>
      <w:r w:rsidR="00114F3F" w:rsidRPr="00556EBB">
        <w:rPr>
          <w:rFonts w:ascii="Browallia New" w:hAnsi="Browallia New" w:cs="Browallia New"/>
          <w:color w:val="auto"/>
          <w:sz w:val="28"/>
          <w:szCs w:val="28"/>
        </w:rPr>
        <w:t>A</w:t>
      </w:r>
      <w:r w:rsidRPr="00556EBB">
        <w:rPr>
          <w:rFonts w:ascii="Browallia New" w:hAnsi="Browallia New" w:cs="Browallia New"/>
          <w:color w:val="auto"/>
          <w:sz w:val="28"/>
          <w:szCs w:val="28"/>
        </w:rPr>
        <w:t xml:space="preserve">ssociate </w:t>
      </w:r>
      <w:r w:rsidR="00114F3F" w:rsidRPr="00556EBB">
        <w:rPr>
          <w:rFonts w:ascii="Browallia New" w:hAnsi="Browallia New" w:cs="Browallia New"/>
          <w:color w:val="auto"/>
          <w:sz w:val="28"/>
          <w:szCs w:val="28"/>
        </w:rPr>
        <w:t>D</w:t>
      </w:r>
      <w:r w:rsidRPr="00556EBB">
        <w:rPr>
          <w:rFonts w:ascii="Browallia New" w:hAnsi="Browallia New" w:cs="Browallia New"/>
          <w:color w:val="auto"/>
          <w:sz w:val="28"/>
          <w:szCs w:val="28"/>
        </w:rPr>
        <w:t xml:space="preserve">irector of </w:t>
      </w:r>
      <w:r w:rsidR="00114F3F" w:rsidRPr="00556EBB">
        <w:rPr>
          <w:rFonts w:ascii="Browallia New" w:hAnsi="Browallia New" w:cs="Browallia New"/>
          <w:color w:val="auto"/>
          <w:sz w:val="28"/>
          <w:szCs w:val="28"/>
        </w:rPr>
        <w:t xml:space="preserve">the </w:t>
      </w:r>
      <w:r w:rsidRPr="00556EBB">
        <w:rPr>
          <w:rFonts w:ascii="Browallia New" w:hAnsi="Browallia New" w:cs="Browallia New"/>
          <w:color w:val="auto"/>
          <w:sz w:val="28"/>
          <w:szCs w:val="28"/>
        </w:rPr>
        <w:t xml:space="preserve">ERM Initiative </w:t>
      </w:r>
      <w:r w:rsidR="00114F3F" w:rsidRPr="00556EBB">
        <w:rPr>
          <w:rFonts w:ascii="Browallia New" w:hAnsi="Browallia New" w:cs="Browallia New"/>
          <w:color w:val="auto"/>
          <w:sz w:val="28"/>
          <w:szCs w:val="28"/>
        </w:rPr>
        <w:t xml:space="preserve">in the Poole College of Management </w:t>
      </w:r>
      <w:r w:rsidRPr="00556EBB">
        <w:rPr>
          <w:rFonts w:ascii="Browallia New" w:hAnsi="Browallia New" w:cs="Browallia New"/>
          <w:color w:val="auto"/>
          <w:sz w:val="28"/>
          <w:szCs w:val="28"/>
        </w:rPr>
        <w:t>at N</w:t>
      </w:r>
      <w:r w:rsidR="00867929" w:rsidRPr="00556EBB">
        <w:rPr>
          <w:rFonts w:ascii="Browallia New" w:hAnsi="Browallia New" w:cs="Browallia New"/>
          <w:color w:val="auto"/>
          <w:sz w:val="28"/>
          <w:szCs w:val="28"/>
        </w:rPr>
        <w:t xml:space="preserve">C </w:t>
      </w:r>
      <w:r w:rsidRPr="00556EBB">
        <w:rPr>
          <w:rFonts w:ascii="Browallia New" w:hAnsi="Browallia New" w:cs="Browallia New"/>
          <w:color w:val="auto"/>
          <w:sz w:val="28"/>
          <w:szCs w:val="28"/>
        </w:rPr>
        <w:t xml:space="preserve">State University. His teaching and research </w:t>
      </w:r>
      <w:proofErr w:type="gramStart"/>
      <w:r w:rsidRPr="00556EBB">
        <w:rPr>
          <w:rFonts w:ascii="Browallia New" w:hAnsi="Browallia New" w:cs="Browallia New"/>
          <w:color w:val="auto"/>
          <w:sz w:val="28"/>
          <w:szCs w:val="28"/>
        </w:rPr>
        <w:t>is</w:t>
      </w:r>
      <w:proofErr w:type="gramEnd"/>
      <w:r w:rsidRPr="00556EBB">
        <w:rPr>
          <w:rFonts w:ascii="Browallia New" w:hAnsi="Browallia New" w:cs="Browallia New"/>
          <w:color w:val="auto"/>
          <w:sz w:val="28"/>
          <w:szCs w:val="28"/>
        </w:rPr>
        <w:t xml:space="preserve"> focused on </w:t>
      </w:r>
      <w:r w:rsidR="00114F3F" w:rsidRPr="00556EBB">
        <w:rPr>
          <w:rFonts w:ascii="Browallia New" w:hAnsi="Browallia New" w:cs="Browallia New"/>
          <w:color w:val="auto"/>
          <w:sz w:val="28"/>
          <w:szCs w:val="28"/>
        </w:rPr>
        <w:t xml:space="preserve">enterprise risk management and </w:t>
      </w:r>
      <w:r w:rsidRPr="00556EBB">
        <w:rPr>
          <w:rFonts w:ascii="Browallia New" w:hAnsi="Browallia New" w:cs="Browallia New"/>
          <w:color w:val="auto"/>
          <w:sz w:val="28"/>
          <w:szCs w:val="28"/>
        </w:rPr>
        <w:t xml:space="preserve">financial </w:t>
      </w:r>
      <w:proofErr w:type="gramStart"/>
      <w:r w:rsidRPr="00556EBB">
        <w:rPr>
          <w:rFonts w:ascii="Browallia New" w:hAnsi="Browallia New" w:cs="Browallia New"/>
          <w:color w:val="auto"/>
          <w:sz w:val="28"/>
          <w:szCs w:val="28"/>
        </w:rPr>
        <w:t>reporting</w:t>
      </w:r>
      <w:r w:rsidR="001D67CE" w:rsidRPr="00556EBB">
        <w:rPr>
          <w:rFonts w:ascii="Browallia New" w:hAnsi="Browallia New" w:cs="Browallia New"/>
          <w:color w:val="auto"/>
          <w:sz w:val="28"/>
          <w:szCs w:val="28"/>
        </w:rPr>
        <w:t>,</w:t>
      </w:r>
      <w:r w:rsidRPr="00556EBB">
        <w:rPr>
          <w:rFonts w:ascii="Browallia New" w:hAnsi="Browallia New" w:cs="Browallia New"/>
          <w:color w:val="auto"/>
          <w:sz w:val="28"/>
          <w:szCs w:val="28"/>
        </w:rPr>
        <w:t xml:space="preserve"> and</w:t>
      </w:r>
      <w:proofErr w:type="gramEnd"/>
      <w:r w:rsidRPr="00556EBB">
        <w:rPr>
          <w:rFonts w:ascii="Browallia New" w:hAnsi="Browallia New" w:cs="Browallia New"/>
          <w:color w:val="auto"/>
          <w:sz w:val="28"/>
          <w:szCs w:val="28"/>
        </w:rPr>
        <w:t xml:space="preserve"> includes an interest in the use of derivative securities and other hedging strategies for risk reduction/risk sharing. He also has examined the use of various forecasting and simulation tools to form expectations used in financial statement audits and in earnings forecasting research. He earned his Ph.D. at Florida State University.</w:t>
      </w:r>
    </w:p>
    <w:p w14:paraId="1B9AAE76" w14:textId="77777777" w:rsidR="004E6A30" w:rsidRPr="00556EBB" w:rsidRDefault="00626978" w:rsidP="00556EBB">
      <w:pPr>
        <w:spacing w:line="204" w:lineRule="auto"/>
        <w:jc w:val="both"/>
        <w:rPr>
          <w:rFonts w:ascii="Browallia New" w:hAnsi="Browallia New" w:cs="Browallia New"/>
          <w:snapToGrid w:val="0"/>
          <w:sz w:val="28"/>
          <w:szCs w:val="28"/>
        </w:rPr>
      </w:pPr>
      <w:r w:rsidRPr="003B1178">
        <w:rPr>
          <w:rFonts w:ascii="Browallia New" w:hAnsi="Browallia New" w:cs="Browallia New"/>
          <w:b/>
          <w:sz w:val="28"/>
          <w:szCs w:val="28"/>
        </w:rPr>
        <w:t>Bonnie V. Hancock, M.S.,</w:t>
      </w:r>
      <w:r w:rsidR="00147774" w:rsidRPr="00556EBB">
        <w:rPr>
          <w:rFonts w:ascii="Browallia New" w:hAnsi="Browallia New" w:cs="Browallia New"/>
          <w:color w:val="C48B01" w:themeColor="accent2" w:themeShade="BF"/>
          <w:sz w:val="28"/>
          <w:szCs w:val="28"/>
        </w:rPr>
        <w:t xml:space="preserve"> </w:t>
      </w:r>
      <w:r w:rsidR="00471912" w:rsidRPr="00556EBB">
        <w:rPr>
          <w:rFonts w:ascii="Browallia New" w:hAnsi="Browallia New" w:cs="Browallia New"/>
          <w:sz w:val="28"/>
          <w:szCs w:val="28"/>
        </w:rPr>
        <w:t xml:space="preserve">is the </w:t>
      </w:r>
      <w:r w:rsidR="004F6302" w:rsidRPr="00556EBB">
        <w:rPr>
          <w:rStyle w:val="Strong"/>
          <w:rFonts w:ascii="Browallia New" w:hAnsi="Browallia New" w:cs="Browallia New"/>
          <w:b w:val="0"/>
          <w:sz w:val="28"/>
          <w:szCs w:val="28"/>
        </w:rPr>
        <w:t>Executive Director</w:t>
      </w:r>
      <w:r w:rsidR="001D67CE" w:rsidRPr="00556EBB">
        <w:rPr>
          <w:rStyle w:val="Strong"/>
          <w:rFonts w:ascii="Browallia New" w:hAnsi="Browallia New" w:cs="Browallia New"/>
          <w:b w:val="0"/>
          <w:sz w:val="28"/>
          <w:szCs w:val="28"/>
        </w:rPr>
        <w:t xml:space="preserve"> of the</w:t>
      </w:r>
      <w:r w:rsidR="004F6302" w:rsidRPr="00556EBB">
        <w:rPr>
          <w:rStyle w:val="Strong"/>
          <w:rFonts w:ascii="Browallia New" w:hAnsi="Browallia New" w:cs="Browallia New"/>
          <w:b w:val="0"/>
          <w:sz w:val="28"/>
          <w:szCs w:val="28"/>
        </w:rPr>
        <w:t xml:space="preserve"> E</w:t>
      </w:r>
      <w:r w:rsidR="001D67CE" w:rsidRPr="00556EBB">
        <w:rPr>
          <w:rStyle w:val="Strong"/>
          <w:rFonts w:ascii="Browallia New" w:hAnsi="Browallia New" w:cs="Browallia New"/>
          <w:b w:val="0"/>
          <w:sz w:val="28"/>
          <w:szCs w:val="28"/>
        </w:rPr>
        <w:t>RM</w:t>
      </w:r>
      <w:r w:rsidR="004F6302" w:rsidRPr="00556EBB">
        <w:rPr>
          <w:rStyle w:val="Strong"/>
          <w:rFonts w:ascii="Browallia New" w:hAnsi="Browallia New" w:cs="Browallia New"/>
          <w:b w:val="0"/>
          <w:sz w:val="28"/>
          <w:szCs w:val="28"/>
        </w:rPr>
        <w:t xml:space="preserve"> Initiative at N</w:t>
      </w:r>
      <w:r w:rsidR="001D67CE" w:rsidRPr="00556EBB">
        <w:rPr>
          <w:rStyle w:val="Strong"/>
          <w:rFonts w:ascii="Browallia New" w:hAnsi="Browallia New" w:cs="Browallia New"/>
          <w:b w:val="0"/>
          <w:sz w:val="28"/>
          <w:szCs w:val="28"/>
        </w:rPr>
        <w:t>C</w:t>
      </w:r>
      <w:r w:rsidR="004F6302" w:rsidRPr="00556EBB">
        <w:rPr>
          <w:rStyle w:val="Strong"/>
          <w:rFonts w:ascii="Browallia New" w:hAnsi="Browallia New" w:cs="Browallia New"/>
          <w:b w:val="0"/>
          <w:sz w:val="28"/>
          <w:szCs w:val="28"/>
        </w:rPr>
        <w:t xml:space="preserve"> State University where she also teaches graduate and undergraduate courses in the Poole College of Management. </w:t>
      </w:r>
      <w:r w:rsidRPr="00556EBB">
        <w:rPr>
          <w:rFonts w:ascii="Browallia New" w:hAnsi="Browallia New" w:cs="Browallia New"/>
          <w:sz w:val="28"/>
          <w:szCs w:val="28"/>
        </w:rPr>
        <w:t xml:space="preserve">Her background includes </w:t>
      </w:r>
      <w:r w:rsidR="00471912" w:rsidRPr="00556EBB">
        <w:rPr>
          <w:rFonts w:ascii="Browallia New" w:hAnsi="Browallia New" w:cs="Browallia New"/>
          <w:sz w:val="28"/>
          <w:szCs w:val="28"/>
        </w:rPr>
        <w:t xml:space="preserve">various </w:t>
      </w:r>
      <w:r w:rsidRPr="00556EBB">
        <w:rPr>
          <w:rFonts w:ascii="Browallia New" w:hAnsi="Browallia New" w:cs="Browallia New"/>
          <w:sz w:val="28"/>
          <w:szCs w:val="28"/>
        </w:rPr>
        <w:t xml:space="preserve">executive positions at Progress Energy </w:t>
      </w:r>
      <w:r w:rsidR="00471912" w:rsidRPr="00556EBB">
        <w:rPr>
          <w:rFonts w:ascii="Browallia New" w:hAnsi="Browallia New" w:cs="Browallia New"/>
          <w:sz w:val="28"/>
          <w:szCs w:val="28"/>
        </w:rPr>
        <w:t xml:space="preserve">where she </w:t>
      </w:r>
      <w:r w:rsidRPr="00556EBB">
        <w:rPr>
          <w:rFonts w:ascii="Browallia New" w:hAnsi="Browallia New" w:cs="Browallia New"/>
          <w:sz w:val="28"/>
          <w:szCs w:val="28"/>
        </w:rPr>
        <w:t xml:space="preserve">has served as president of Progress Fuels (a Progress Energy subsidiary with more than $1 billion in assets), senior vice president of finance and information technology, vice president of strategy and vice president of accounting and controller. </w:t>
      </w:r>
      <w:r w:rsidR="004F6302" w:rsidRPr="00556EBB">
        <w:rPr>
          <w:rFonts w:ascii="Browallia New" w:hAnsi="Browallia New" w:cs="Browallia New"/>
          <w:snapToGrid w:val="0"/>
          <w:sz w:val="28"/>
          <w:szCs w:val="28"/>
        </w:rPr>
        <w:t xml:space="preserve">She currently serves on the following corporate boards: AgFirst Farm Credit Bank where she </w:t>
      </w:r>
      <w:r w:rsidR="00343944">
        <w:rPr>
          <w:rFonts w:ascii="Browallia New" w:hAnsi="Browallia New" w:cs="Browallia New"/>
          <w:snapToGrid w:val="0"/>
          <w:sz w:val="28"/>
          <w:szCs w:val="28"/>
        </w:rPr>
        <w:t xml:space="preserve">has </w:t>
      </w:r>
      <w:r w:rsidR="00343944" w:rsidRPr="00556EBB">
        <w:rPr>
          <w:rFonts w:ascii="Browallia New" w:hAnsi="Browallia New" w:cs="Browallia New"/>
          <w:snapToGrid w:val="0"/>
          <w:sz w:val="28"/>
          <w:szCs w:val="28"/>
        </w:rPr>
        <w:t>chair</w:t>
      </w:r>
      <w:r w:rsidR="00343944">
        <w:rPr>
          <w:rFonts w:ascii="Browallia New" w:hAnsi="Browallia New" w:cs="Browallia New"/>
          <w:snapToGrid w:val="0"/>
          <w:sz w:val="28"/>
          <w:szCs w:val="28"/>
        </w:rPr>
        <w:t>ed</w:t>
      </w:r>
      <w:r w:rsidR="00343944" w:rsidRPr="00556EBB">
        <w:rPr>
          <w:rFonts w:ascii="Browallia New" w:hAnsi="Browallia New" w:cs="Browallia New"/>
          <w:snapToGrid w:val="0"/>
          <w:sz w:val="28"/>
          <w:szCs w:val="28"/>
        </w:rPr>
        <w:t xml:space="preserve"> </w:t>
      </w:r>
      <w:r w:rsidR="004F6302" w:rsidRPr="00556EBB">
        <w:rPr>
          <w:rFonts w:ascii="Browallia New" w:hAnsi="Browallia New" w:cs="Browallia New"/>
          <w:snapToGrid w:val="0"/>
          <w:sz w:val="28"/>
          <w:szCs w:val="28"/>
        </w:rPr>
        <w:t xml:space="preserve">the risk policy </w:t>
      </w:r>
      <w:r w:rsidR="00343944">
        <w:rPr>
          <w:rFonts w:ascii="Browallia New" w:hAnsi="Browallia New" w:cs="Browallia New"/>
          <w:snapToGrid w:val="0"/>
          <w:sz w:val="28"/>
          <w:szCs w:val="28"/>
        </w:rPr>
        <w:t xml:space="preserve">and credit </w:t>
      </w:r>
      <w:r w:rsidR="004F6302" w:rsidRPr="00556EBB">
        <w:rPr>
          <w:rFonts w:ascii="Browallia New" w:hAnsi="Browallia New" w:cs="Browallia New"/>
          <w:snapToGrid w:val="0"/>
          <w:sz w:val="28"/>
          <w:szCs w:val="28"/>
        </w:rPr>
        <w:t>committee</w:t>
      </w:r>
      <w:r w:rsidR="00343944">
        <w:rPr>
          <w:rFonts w:ascii="Browallia New" w:hAnsi="Browallia New" w:cs="Browallia New"/>
          <w:snapToGrid w:val="0"/>
          <w:sz w:val="28"/>
          <w:szCs w:val="28"/>
        </w:rPr>
        <w:t>s and currently serves on the governance committee</w:t>
      </w:r>
      <w:r w:rsidR="004F6302" w:rsidRPr="00556EBB">
        <w:rPr>
          <w:rFonts w:ascii="Browallia New" w:hAnsi="Browallia New" w:cs="Browallia New"/>
          <w:snapToGrid w:val="0"/>
          <w:sz w:val="28"/>
          <w:szCs w:val="28"/>
        </w:rPr>
        <w:t>, Office of Mortgage Settlement Oversight where she chairs the audit committee, and Powell Industries, a publicly traded company based in Houston, Texas, where she serves on the compensation committee.</w:t>
      </w:r>
    </w:p>
    <w:p w14:paraId="1823B5DE" w14:textId="77777777" w:rsidR="00626978" w:rsidRPr="00556EBB" w:rsidRDefault="00626978" w:rsidP="00556EBB">
      <w:pPr>
        <w:widowControl w:val="0"/>
        <w:spacing w:line="204" w:lineRule="auto"/>
        <w:jc w:val="both"/>
        <w:rPr>
          <w:rFonts w:ascii="Browallia New" w:hAnsi="Browallia New" w:cs="Browallia New"/>
          <w:sz w:val="28"/>
          <w:szCs w:val="28"/>
        </w:rPr>
      </w:pPr>
      <w:r w:rsidRPr="00556EBB">
        <w:rPr>
          <w:rFonts w:ascii="Browallia New" w:hAnsi="Browallia New" w:cs="Browallia New"/>
          <w:sz w:val="28"/>
          <w:szCs w:val="28"/>
        </w:rPr>
        <w:t xml:space="preserve">Contact </w:t>
      </w:r>
      <w:r w:rsidR="003D5883" w:rsidRPr="00556EBB">
        <w:rPr>
          <w:rFonts w:ascii="Browallia New" w:hAnsi="Browallia New" w:cs="Browallia New"/>
          <w:sz w:val="28"/>
          <w:szCs w:val="28"/>
        </w:rPr>
        <w:t>u</w:t>
      </w:r>
      <w:r w:rsidRPr="00556EBB">
        <w:rPr>
          <w:rFonts w:ascii="Browallia New" w:hAnsi="Browallia New" w:cs="Browallia New"/>
          <w:sz w:val="28"/>
          <w:szCs w:val="28"/>
        </w:rPr>
        <w:t xml:space="preserve">s at:  </w:t>
      </w:r>
      <w:hyperlink r:id="rId31" w:history="1">
        <w:r w:rsidRPr="00556EBB">
          <w:rPr>
            <w:rStyle w:val="Hyperlink"/>
            <w:rFonts w:ascii="Browallia New" w:hAnsi="Browallia New" w:cs="Browallia New"/>
            <w:sz w:val="28"/>
            <w:szCs w:val="28"/>
            <w:u w:val="none"/>
          </w:rPr>
          <w:t>erm_initiative@ncsu.edu</w:t>
        </w:r>
      </w:hyperlink>
      <w:r w:rsidRPr="00556EBB">
        <w:rPr>
          <w:rFonts w:ascii="Browallia New" w:hAnsi="Browallia New" w:cs="Browallia New"/>
          <w:sz w:val="28"/>
          <w:szCs w:val="28"/>
        </w:rPr>
        <w:t xml:space="preserve"> or 919.513.0901.</w:t>
      </w:r>
    </w:p>
    <w:p w14:paraId="2D04C6B0" w14:textId="77777777" w:rsidR="000A32E9" w:rsidRPr="00C05DA7" w:rsidRDefault="00EF5A90" w:rsidP="00F73DD1">
      <w:pPr>
        <w:jc w:val="center"/>
        <w:rPr>
          <w:rFonts w:ascii="Browallia New" w:hAnsi="Browallia New" w:cs="Browallia New"/>
        </w:rPr>
      </w:pPr>
      <w:r w:rsidRPr="00C05DA7">
        <w:rPr>
          <w:rFonts w:ascii="Browallia New" w:hAnsi="Browallia New" w:cs="Browallia New"/>
          <w:noProof/>
        </w:rPr>
        <w:drawing>
          <wp:inline distT="0" distB="0" distL="0" distR="0" wp14:anchorId="2FB13E82" wp14:editId="171DED8E">
            <wp:extent cx="2243333" cy="414529"/>
            <wp:effectExtent l="19050" t="0" r="4567" b="0"/>
            <wp:docPr id="6" name="image01.png" descr="NC State Poole College of Management Enterprise Risk Management Initiative logo."/>
            <wp:cNvGraphicFramePr/>
            <a:graphic xmlns:a="http://schemas.openxmlformats.org/drawingml/2006/main">
              <a:graphicData uri="http://schemas.openxmlformats.org/drawingml/2006/picture">
                <pic:pic xmlns:pic="http://schemas.openxmlformats.org/drawingml/2006/picture">
                  <pic:nvPicPr>
                    <pic:cNvPr id="6" name="image01.png" descr="NC State Poole College of Management Enterprise Risk Management Initiative logo."/>
                    <pic:cNvPicPr preferRelativeResize="0"/>
                  </pic:nvPicPr>
                  <pic:blipFill>
                    <a:blip r:embed="rId11" cstate="print"/>
                    <a:srcRect/>
                    <a:stretch>
                      <a:fillRect/>
                    </a:stretch>
                  </pic:blipFill>
                  <pic:spPr>
                    <a:xfrm>
                      <a:off x="0" y="0"/>
                      <a:ext cx="2243333" cy="414529"/>
                    </a:xfrm>
                    <a:prstGeom prst="rect">
                      <a:avLst/>
                    </a:prstGeom>
                    <a:ln/>
                  </pic:spPr>
                </pic:pic>
              </a:graphicData>
            </a:graphic>
          </wp:inline>
        </w:drawing>
      </w:r>
    </w:p>
    <w:sectPr w:rsidR="000A32E9" w:rsidRPr="00C05DA7" w:rsidSect="002836ED">
      <w:headerReference w:type="default" r:id="rId32"/>
      <w:footerReference w:type="defaul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B086" w14:textId="77777777" w:rsidR="00DA7EC5" w:rsidRDefault="00DA7EC5" w:rsidP="00902520">
      <w:pPr>
        <w:spacing w:after="0" w:line="240" w:lineRule="auto"/>
      </w:pPr>
      <w:r>
        <w:separator/>
      </w:r>
    </w:p>
  </w:endnote>
  <w:endnote w:type="continuationSeparator" w:id="0">
    <w:p w14:paraId="4EA27267" w14:textId="77777777" w:rsidR="00DA7EC5" w:rsidRDefault="00DA7EC5" w:rsidP="0090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rowallia New">
    <w:altName w:val="Leelawadee UI"/>
    <w:charset w:val="DE"/>
    <w:family w:val="swiss"/>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258"/>
      <w:docPartObj>
        <w:docPartGallery w:val="Page Numbers (Bottom of Page)"/>
        <w:docPartUnique/>
      </w:docPartObj>
    </w:sdtPr>
    <w:sdtEndPr>
      <w:rPr>
        <w:rFonts w:ascii="Browallia New" w:hAnsi="Browallia New" w:cs="Browallia New"/>
        <w:sz w:val="20"/>
        <w:szCs w:val="20"/>
      </w:rPr>
    </w:sdtEndPr>
    <w:sdtContent>
      <w:p w14:paraId="5C3790AD" w14:textId="77777777" w:rsidR="00206200" w:rsidRPr="00353BB4" w:rsidRDefault="00206200">
        <w:pPr>
          <w:pStyle w:val="Footer"/>
          <w:jc w:val="center"/>
          <w:rPr>
            <w:rFonts w:ascii="Browallia New" w:hAnsi="Browallia New" w:cs="Browallia New"/>
          </w:rPr>
        </w:pPr>
        <w:r w:rsidRPr="00353BB4">
          <w:rPr>
            <w:rFonts w:ascii="Browallia New" w:hAnsi="Browallia New" w:cs="Browallia New"/>
            <w:sz w:val="20"/>
            <w:szCs w:val="20"/>
          </w:rPr>
          <w:fldChar w:fldCharType="begin"/>
        </w:r>
        <w:r w:rsidRPr="00353BB4">
          <w:rPr>
            <w:rFonts w:ascii="Browallia New" w:hAnsi="Browallia New" w:cs="Browallia New"/>
            <w:sz w:val="20"/>
            <w:szCs w:val="20"/>
          </w:rPr>
          <w:instrText xml:space="preserve"> PAGE   \* MERGEFORMAT </w:instrText>
        </w:r>
        <w:r w:rsidRPr="00353BB4">
          <w:rPr>
            <w:rFonts w:ascii="Browallia New" w:hAnsi="Browallia New" w:cs="Browallia New"/>
            <w:sz w:val="20"/>
            <w:szCs w:val="20"/>
          </w:rPr>
          <w:fldChar w:fldCharType="separate"/>
        </w:r>
        <w:r w:rsidR="00F75B02">
          <w:rPr>
            <w:rFonts w:ascii="Browallia New" w:hAnsi="Browallia New" w:cs="Browallia New"/>
            <w:noProof/>
            <w:sz w:val="20"/>
            <w:szCs w:val="20"/>
          </w:rPr>
          <w:t>2</w:t>
        </w:r>
        <w:r w:rsidRPr="00353BB4">
          <w:rPr>
            <w:rFonts w:ascii="Browallia New" w:hAnsi="Browallia New" w:cs="Browallia New"/>
            <w:sz w:val="20"/>
            <w:szCs w:val="20"/>
          </w:rPr>
          <w:fldChar w:fldCharType="end"/>
        </w:r>
      </w:p>
    </w:sdtContent>
  </w:sdt>
  <w:p w14:paraId="5AB61DF4" w14:textId="77777777" w:rsidR="00206200" w:rsidRDefault="00206200" w:rsidP="00977F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9001" w14:textId="77777777" w:rsidR="00DA7EC5" w:rsidRDefault="00DA7EC5" w:rsidP="00902520">
      <w:pPr>
        <w:spacing w:after="0" w:line="240" w:lineRule="auto"/>
      </w:pPr>
      <w:r>
        <w:separator/>
      </w:r>
    </w:p>
  </w:footnote>
  <w:footnote w:type="continuationSeparator" w:id="0">
    <w:p w14:paraId="63887BB5" w14:textId="77777777" w:rsidR="00DA7EC5" w:rsidRDefault="00DA7EC5" w:rsidP="00902520">
      <w:pPr>
        <w:spacing w:after="0" w:line="240" w:lineRule="auto"/>
      </w:pPr>
      <w:r>
        <w:continuationSeparator/>
      </w:r>
    </w:p>
  </w:footnote>
  <w:footnote w:id="1">
    <w:p w14:paraId="1AF78FDF" w14:textId="77777777" w:rsidR="00206200" w:rsidRPr="00556EBB" w:rsidRDefault="00206200" w:rsidP="00D820AD">
      <w:pPr>
        <w:pStyle w:val="FootnoteText"/>
        <w:rPr>
          <w:rFonts w:ascii="Browallia New" w:hAnsi="Browallia New" w:cs="Browallia New"/>
        </w:rPr>
      </w:pPr>
      <w:r w:rsidRPr="004F6649">
        <w:rPr>
          <w:rStyle w:val="FootnoteReference"/>
          <w:rFonts w:ascii="Browallia New" w:hAnsi="Browallia New" w:cs="Browallia New"/>
        </w:rPr>
        <w:footnoteRef/>
      </w:r>
      <w:r w:rsidRPr="004F6649">
        <w:rPr>
          <w:rFonts w:ascii="Browallia New" w:hAnsi="Browallia New" w:cs="Browallia New"/>
        </w:rPr>
        <w:t xml:space="preserve"> </w:t>
      </w:r>
      <w:r w:rsidRPr="00556EBB">
        <w:rPr>
          <w:rFonts w:ascii="Browallia New" w:hAnsi="Browallia New" w:cs="Browallia New"/>
        </w:rPr>
        <w:t>Throughout this report we have rounded the reported percentages to the nearest full percent for ease of discussion.</w:t>
      </w:r>
    </w:p>
  </w:footnote>
  <w:footnote w:id="2">
    <w:p w14:paraId="26570E6B" w14:textId="77777777" w:rsidR="00206200" w:rsidRPr="00556EBB" w:rsidRDefault="00206200" w:rsidP="00D820AD">
      <w:pPr>
        <w:pStyle w:val="FootnoteText"/>
        <w:rPr>
          <w:rFonts w:ascii="Browallia New" w:hAnsi="Browallia New" w:cs="Browallia New"/>
          <w:sz w:val="22"/>
          <w:szCs w:val="22"/>
        </w:rPr>
      </w:pPr>
      <w:r w:rsidRPr="00556EBB">
        <w:rPr>
          <w:rStyle w:val="FootnoteReference"/>
          <w:rFonts w:ascii="Browallia New" w:hAnsi="Browallia New" w:cs="Browallia New"/>
          <w:sz w:val="22"/>
          <w:szCs w:val="22"/>
        </w:rPr>
        <w:footnoteRef/>
      </w:r>
      <w:r w:rsidRPr="00556EBB">
        <w:rPr>
          <w:rFonts w:ascii="Browallia New" w:hAnsi="Browallia New" w:cs="Browallia New"/>
          <w:sz w:val="22"/>
          <w:szCs w:val="22"/>
        </w:rPr>
        <w:t xml:space="preserve"> Thirty-one of the 474 respondents did not provide information about revenues.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849" w14:textId="77777777" w:rsidR="00206200" w:rsidRPr="003B1178" w:rsidRDefault="00206200" w:rsidP="00FB3181">
    <w:pPr>
      <w:pStyle w:val="Header"/>
      <w:shd w:val="clear" w:color="auto" w:fill="C48B01" w:themeFill="accent2" w:themeFillShade="BF"/>
      <w:rPr>
        <w:b/>
        <w:color w:val="232D46" w:themeColor="accent6" w:themeShade="80"/>
        <w:sz w:val="20"/>
        <w:szCs w:val="20"/>
      </w:rPr>
    </w:pPr>
    <w:r w:rsidRPr="00FB3181">
      <w:rPr>
        <w:noProof/>
        <w:color w:val="FFFFFF" w:themeColor="background1"/>
      </w:rPr>
      <w:drawing>
        <wp:anchor distT="0" distB="0" distL="114300" distR="114300" simplePos="0" relativeHeight="251658240" behindDoc="0" locked="0" layoutInCell="1" allowOverlap="1" wp14:anchorId="106F90B6" wp14:editId="230F3F2E">
          <wp:simplePos x="0" y="0"/>
          <wp:positionH relativeFrom="column">
            <wp:posOffset>5399290</wp:posOffset>
          </wp:positionH>
          <wp:positionV relativeFrom="paragraph">
            <wp:posOffset>-274320</wp:posOffset>
          </wp:positionV>
          <wp:extent cx="518160" cy="690880"/>
          <wp:effectExtent l="0" t="0" r="0" b="0"/>
          <wp:wrapSquare wrapText="bothSides"/>
          <wp:docPr id="140" name="Picture 140" descr="Stock vector of 'isolated abstract gear tree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ck vector of 'isolated abstract gear tree on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90880"/>
                  </a:xfrm>
                  <a:prstGeom prst="rect">
                    <a:avLst/>
                  </a:prstGeom>
                  <a:noFill/>
                  <a:ln>
                    <a:noFill/>
                  </a:ln>
                </pic:spPr>
              </pic:pic>
            </a:graphicData>
          </a:graphic>
        </wp:anchor>
      </w:drawing>
    </w:r>
    <w:r w:rsidRPr="003B1178">
      <w:rPr>
        <w:b/>
        <w:color w:val="232D46" w:themeColor="accent6" w:themeShade="80"/>
        <w:sz w:val="20"/>
        <w:szCs w:val="20"/>
      </w:rPr>
      <w:t>The State of Risk Oversight:  An Overview of Enterprise Risk Management Pr</w:t>
    </w:r>
    <w:r w:rsidR="00F52F75" w:rsidRPr="003B1178">
      <w:rPr>
        <w:b/>
        <w:color w:val="232D46" w:themeColor="accent6" w:themeShade="80"/>
        <w:sz w:val="20"/>
        <w:szCs w:val="20"/>
      </w:rPr>
      <w:t>actices</w:t>
    </w:r>
    <w:r w:rsidRPr="003B1178">
      <w:rPr>
        <w:b/>
        <w:color w:val="232D46" w:themeColor="accent6" w:themeShade="8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image.freepik.com/free-photo/blue-marble-close-up_61-1674.jpg" style="width:468.3pt;height:312pt;visibility:visible;mso-wrap-style:square" o:bullet="t">
        <v:imagedata r:id="rId1" o:title="blue-marble-close-up_61-1674"/>
      </v:shape>
    </w:pict>
  </w:numPicBullet>
  <w:abstractNum w:abstractNumId="0" w15:restartNumberingAfterBreak="0">
    <w:nsid w:val="0ACB2F84"/>
    <w:multiLevelType w:val="hybridMultilevel"/>
    <w:tmpl w:val="0ECAC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95988"/>
    <w:multiLevelType w:val="hybridMultilevel"/>
    <w:tmpl w:val="0BD8C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827B0"/>
    <w:multiLevelType w:val="hybridMultilevel"/>
    <w:tmpl w:val="57886564"/>
    <w:lvl w:ilvl="0" w:tplc="159A0508">
      <w:start w:val="30"/>
      <w:numFmt w:val="bullet"/>
      <w:lvlText w:val="-"/>
      <w:lvlJc w:val="left"/>
      <w:pPr>
        <w:ind w:left="720" w:hanging="360"/>
      </w:pPr>
      <w:rPr>
        <w:rFonts w:ascii="Corbel" w:eastAsia="Times New Roman" w:hAnsi="Corbe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53913"/>
    <w:multiLevelType w:val="hybridMultilevel"/>
    <w:tmpl w:val="B25E3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8B2ACE"/>
    <w:multiLevelType w:val="hybridMultilevel"/>
    <w:tmpl w:val="D812A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B5718"/>
    <w:multiLevelType w:val="hybridMultilevel"/>
    <w:tmpl w:val="DFE62888"/>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31A5D"/>
    <w:multiLevelType w:val="hybridMultilevel"/>
    <w:tmpl w:val="3746F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B1E46"/>
    <w:multiLevelType w:val="hybridMultilevel"/>
    <w:tmpl w:val="2EC48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352AD7"/>
    <w:multiLevelType w:val="hybridMultilevel"/>
    <w:tmpl w:val="7F7C167C"/>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363BB"/>
    <w:multiLevelType w:val="hybridMultilevel"/>
    <w:tmpl w:val="D1B8F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EF0410"/>
    <w:multiLevelType w:val="hybridMultilevel"/>
    <w:tmpl w:val="E328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A5DB0"/>
    <w:multiLevelType w:val="hybridMultilevel"/>
    <w:tmpl w:val="33C6B6BA"/>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252D4"/>
    <w:multiLevelType w:val="hybridMultilevel"/>
    <w:tmpl w:val="C00AC45C"/>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37BC2"/>
    <w:multiLevelType w:val="hybridMultilevel"/>
    <w:tmpl w:val="06F2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D14D8"/>
    <w:multiLevelType w:val="hybridMultilevel"/>
    <w:tmpl w:val="D0307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94985"/>
    <w:multiLevelType w:val="hybridMultilevel"/>
    <w:tmpl w:val="6596C4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80436"/>
    <w:multiLevelType w:val="hybridMultilevel"/>
    <w:tmpl w:val="B082EDE4"/>
    <w:lvl w:ilvl="0" w:tplc="EA1E4760">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935D15"/>
    <w:multiLevelType w:val="hybridMultilevel"/>
    <w:tmpl w:val="6402FD6A"/>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365A7"/>
    <w:multiLevelType w:val="hybridMultilevel"/>
    <w:tmpl w:val="E57AF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61463"/>
    <w:multiLevelType w:val="hybridMultilevel"/>
    <w:tmpl w:val="96F6BFDC"/>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87980"/>
    <w:multiLevelType w:val="hybridMultilevel"/>
    <w:tmpl w:val="E2CC534A"/>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376C1"/>
    <w:multiLevelType w:val="hybridMultilevel"/>
    <w:tmpl w:val="1FA4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A2548"/>
    <w:multiLevelType w:val="hybridMultilevel"/>
    <w:tmpl w:val="D542EEA8"/>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E4BFF"/>
    <w:multiLevelType w:val="hybridMultilevel"/>
    <w:tmpl w:val="CFE2C756"/>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76C7D"/>
    <w:multiLevelType w:val="hybridMultilevel"/>
    <w:tmpl w:val="B8726A92"/>
    <w:lvl w:ilvl="0" w:tplc="CDB8BC2E">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712BA"/>
    <w:multiLevelType w:val="hybridMultilevel"/>
    <w:tmpl w:val="1890AC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81C49"/>
    <w:multiLevelType w:val="hybridMultilevel"/>
    <w:tmpl w:val="B7804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BE07C8"/>
    <w:multiLevelType w:val="hybridMultilevel"/>
    <w:tmpl w:val="596AB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C86FAA"/>
    <w:multiLevelType w:val="hybridMultilevel"/>
    <w:tmpl w:val="454AB7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A62F9F"/>
    <w:multiLevelType w:val="hybridMultilevel"/>
    <w:tmpl w:val="DB30502E"/>
    <w:lvl w:ilvl="0" w:tplc="6E0C4782">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E300B"/>
    <w:multiLevelType w:val="hybridMultilevel"/>
    <w:tmpl w:val="5FF22620"/>
    <w:lvl w:ilvl="0" w:tplc="18C6BD5E">
      <w:numFmt w:val="bullet"/>
      <w:lvlText w:val="-"/>
      <w:lvlJc w:val="left"/>
      <w:pPr>
        <w:ind w:left="396" w:hanging="360"/>
      </w:pPr>
      <w:rPr>
        <w:rFonts w:ascii="Browallia New" w:eastAsia="Times New Roman" w:hAnsi="Browallia New" w:cs="Browallia New"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31" w15:restartNumberingAfterBreak="0">
    <w:nsid w:val="510565EF"/>
    <w:multiLevelType w:val="hybridMultilevel"/>
    <w:tmpl w:val="D7DC9B34"/>
    <w:lvl w:ilvl="0" w:tplc="A0C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05C4B"/>
    <w:multiLevelType w:val="hybridMultilevel"/>
    <w:tmpl w:val="E32EEB1A"/>
    <w:lvl w:ilvl="0" w:tplc="06C61E1C">
      <w:start w:val="1"/>
      <w:numFmt w:val="bullet"/>
      <w:lvlText w:val=""/>
      <w:lvlJc w:val="left"/>
      <w:pPr>
        <w:ind w:left="720" w:hanging="360"/>
      </w:pPr>
      <w:rPr>
        <w:rFonts w:ascii="Wingdings" w:hAnsi="Wingdings" w:hint="default"/>
        <w:color w:val="C0000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65A85"/>
    <w:multiLevelType w:val="hybridMultilevel"/>
    <w:tmpl w:val="DD907FBC"/>
    <w:lvl w:ilvl="0" w:tplc="EBD6162C">
      <w:start w:val="1"/>
      <w:numFmt w:val="decimal"/>
      <w:lvlText w:val="%1"/>
      <w:lvlJc w:val="left"/>
      <w:pPr>
        <w:ind w:left="3240" w:hanging="2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F0B26"/>
    <w:multiLevelType w:val="hybridMultilevel"/>
    <w:tmpl w:val="F4D4201E"/>
    <w:lvl w:ilvl="0" w:tplc="CDB8BC2E">
      <w:start w:val="1"/>
      <w:numFmt w:val="bullet"/>
      <w:lvlText w:val=""/>
      <w:lvlJc w:val="left"/>
      <w:pPr>
        <w:ind w:left="4590" w:hanging="360"/>
      </w:pPr>
      <w:rPr>
        <w:rFonts w:ascii="Wingdings" w:hAnsi="Wingdings" w:hint="default"/>
        <w:color w:val="C00000"/>
      </w:rPr>
    </w:lvl>
    <w:lvl w:ilvl="1" w:tplc="0409000B">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8132924"/>
    <w:multiLevelType w:val="hybridMultilevel"/>
    <w:tmpl w:val="F5C8A2E6"/>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58260392"/>
    <w:multiLevelType w:val="hybridMultilevel"/>
    <w:tmpl w:val="E176151A"/>
    <w:lvl w:ilvl="0" w:tplc="CDB8BC2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66024A"/>
    <w:multiLevelType w:val="hybridMultilevel"/>
    <w:tmpl w:val="4704E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3B0703"/>
    <w:multiLevelType w:val="hybridMultilevel"/>
    <w:tmpl w:val="F866E504"/>
    <w:lvl w:ilvl="0" w:tplc="CDB8BC2E">
      <w:start w:val="1"/>
      <w:numFmt w:val="bullet"/>
      <w:lvlText w:val=""/>
      <w:lvlJc w:val="left"/>
      <w:pPr>
        <w:ind w:left="720" w:hanging="360"/>
      </w:pPr>
      <w:rPr>
        <w:rFonts w:ascii="Wingdings" w:hAnsi="Wingdings" w:hint="default"/>
        <w:color w:val="C00000"/>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30FDF"/>
    <w:multiLevelType w:val="hybridMultilevel"/>
    <w:tmpl w:val="1EE22DF2"/>
    <w:lvl w:ilvl="0" w:tplc="00CABA16">
      <w:start w:val="1"/>
      <w:numFmt w:val="bullet"/>
      <w:lvlText w:val=""/>
      <w:lvlPicBulletId w:val="0"/>
      <w:lvlJc w:val="left"/>
      <w:pPr>
        <w:tabs>
          <w:tab w:val="num" w:pos="720"/>
        </w:tabs>
        <w:ind w:left="720" w:hanging="360"/>
      </w:pPr>
      <w:rPr>
        <w:rFonts w:ascii="Symbol" w:hAnsi="Symbol" w:hint="default"/>
      </w:rPr>
    </w:lvl>
    <w:lvl w:ilvl="1" w:tplc="9844110A" w:tentative="1">
      <w:start w:val="1"/>
      <w:numFmt w:val="bullet"/>
      <w:lvlText w:val=""/>
      <w:lvlJc w:val="left"/>
      <w:pPr>
        <w:tabs>
          <w:tab w:val="num" w:pos="1440"/>
        </w:tabs>
        <w:ind w:left="1440" w:hanging="360"/>
      </w:pPr>
      <w:rPr>
        <w:rFonts w:ascii="Symbol" w:hAnsi="Symbol" w:hint="default"/>
      </w:rPr>
    </w:lvl>
    <w:lvl w:ilvl="2" w:tplc="0FA8DDB4" w:tentative="1">
      <w:start w:val="1"/>
      <w:numFmt w:val="bullet"/>
      <w:lvlText w:val=""/>
      <w:lvlJc w:val="left"/>
      <w:pPr>
        <w:tabs>
          <w:tab w:val="num" w:pos="2160"/>
        </w:tabs>
        <w:ind w:left="2160" w:hanging="360"/>
      </w:pPr>
      <w:rPr>
        <w:rFonts w:ascii="Symbol" w:hAnsi="Symbol" w:hint="default"/>
      </w:rPr>
    </w:lvl>
    <w:lvl w:ilvl="3" w:tplc="F2CE5500" w:tentative="1">
      <w:start w:val="1"/>
      <w:numFmt w:val="bullet"/>
      <w:lvlText w:val=""/>
      <w:lvlJc w:val="left"/>
      <w:pPr>
        <w:tabs>
          <w:tab w:val="num" w:pos="2880"/>
        </w:tabs>
        <w:ind w:left="2880" w:hanging="360"/>
      </w:pPr>
      <w:rPr>
        <w:rFonts w:ascii="Symbol" w:hAnsi="Symbol" w:hint="default"/>
      </w:rPr>
    </w:lvl>
    <w:lvl w:ilvl="4" w:tplc="59C6877E" w:tentative="1">
      <w:start w:val="1"/>
      <w:numFmt w:val="bullet"/>
      <w:lvlText w:val=""/>
      <w:lvlJc w:val="left"/>
      <w:pPr>
        <w:tabs>
          <w:tab w:val="num" w:pos="3600"/>
        </w:tabs>
        <w:ind w:left="3600" w:hanging="360"/>
      </w:pPr>
      <w:rPr>
        <w:rFonts w:ascii="Symbol" w:hAnsi="Symbol" w:hint="default"/>
      </w:rPr>
    </w:lvl>
    <w:lvl w:ilvl="5" w:tplc="7BC4A150" w:tentative="1">
      <w:start w:val="1"/>
      <w:numFmt w:val="bullet"/>
      <w:lvlText w:val=""/>
      <w:lvlJc w:val="left"/>
      <w:pPr>
        <w:tabs>
          <w:tab w:val="num" w:pos="4320"/>
        </w:tabs>
        <w:ind w:left="4320" w:hanging="360"/>
      </w:pPr>
      <w:rPr>
        <w:rFonts w:ascii="Symbol" w:hAnsi="Symbol" w:hint="default"/>
      </w:rPr>
    </w:lvl>
    <w:lvl w:ilvl="6" w:tplc="F4E228CC" w:tentative="1">
      <w:start w:val="1"/>
      <w:numFmt w:val="bullet"/>
      <w:lvlText w:val=""/>
      <w:lvlJc w:val="left"/>
      <w:pPr>
        <w:tabs>
          <w:tab w:val="num" w:pos="5040"/>
        </w:tabs>
        <w:ind w:left="5040" w:hanging="360"/>
      </w:pPr>
      <w:rPr>
        <w:rFonts w:ascii="Symbol" w:hAnsi="Symbol" w:hint="default"/>
      </w:rPr>
    </w:lvl>
    <w:lvl w:ilvl="7" w:tplc="87D6C182" w:tentative="1">
      <w:start w:val="1"/>
      <w:numFmt w:val="bullet"/>
      <w:lvlText w:val=""/>
      <w:lvlJc w:val="left"/>
      <w:pPr>
        <w:tabs>
          <w:tab w:val="num" w:pos="5760"/>
        </w:tabs>
        <w:ind w:left="5760" w:hanging="360"/>
      </w:pPr>
      <w:rPr>
        <w:rFonts w:ascii="Symbol" w:hAnsi="Symbol" w:hint="default"/>
      </w:rPr>
    </w:lvl>
    <w:lvl w:ilvl="8" w:tplc="1DDCEEA4"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F7F4CC4"/>
    <w:multiLevelType w:val="hybridMultilevel"/>
    <w:tmpl w:val="C7D2439C"/>
    <w:lvl w:ilvl="0" w:tplc="A6B618B8">
      <w:start w:val="1"/>
      <w:numFmt w:val="decimal"/>
      <w:lvlText w:val="%1"/>
      <w:lvlJc w:val="left"/>
      <w:pPr>
        <w:ind w:left="2880" w:hanging="2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C22CA5"/>
    <w:multiLevelType w:val="hybridMultilevel"/>
    <w:tmpl w:val="05DAD9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52577DD"/>
    <w:multiLevelType w:val="hybridMultilevel"/>
    <w:tmpl w:val="35C66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FE5D00"/>
    <w:multiLevelType w:val="hybridMultilevel"/>
    <w:tmpl w:val="379A5D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A62B9"/>
    <w:multiLevelType w:val="hybridMultilevel"/>
    <w:tmpl w:val="5D90EAAE"/>
    <w:lvl w:ilvl="0" w:tplc="CDB8BC2E">
      <w:start w:val="1"/>
      <w:numFmt w:val="bullet"/>
      <w:lvlText w:val=""/>
      <w:lvlJc w:val="left"/>
      <w:pPr>
        <w:ind w:left="720" w:hanging="360"/>
      </w:pPr>
      <w:rPr>
        <w:rFonts w:ascii="Wingdings" w:hAnsi="Wingdings" w:hint="default"/>
        <w:color w:val="C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87181"/>
    <w:multiLevelType w:val="hybridMultilevel"/>
    <w:tmpl w:val="4B02D88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280985">
    <w:abstractNumId w:val="33"/>
  </w:num>
  <w:num w:numId="2" w16cid:durableId="1871453538">
    <w:abstractNumId w:val="40"/>
  </w:num>
  <w:num w:numId="3" w16cid:durableId="1694191555">
    <w:abstractNumId w:val="35"/>
  </w:num>
  <w:num w:numId="4" w16cid:durableId="1293560645">
    <w:abstractNumId w:val="34"/>
  </w:num>
  <w:num w:numId="5" w16cid:durableId="250093244">
    <w:abstractNumId w:val="31"/>
  </w:num>
  <w:num w:numId="6" w16cid:durableId="1041200724">
    <w:abstractNumId w:val="25"/>
  </w:num>
  <w:num w:numId="7" w16cid:durableId="1471749706">
    <w:abstractNumId w:val="32"/>
  </w:num>
  <w:num w:numId="8" w16cid:durableId="762266398">
    <w:abstractNumId w:val="38"/>
  </w:num>
  <w:num w:numId="9" w16cid:durableId="1842547486">
    <w:abstractNumId w:val="43"/>
  </w:num>
  <w:num w:numId="10" w16cid:durableId="2121488295">
    <w:abstractNumId w:val="18"/>
  </w:num>
  <w:num w:numId="11" w16cid:durableId="359204511">
    <w:abstractNumId w:val="15"/>
  </w:num>
  <w:num w:numId="12" w16cid:durableId="1679886708">
    <w:abstractNumId w:val="44"/>
  </w:num>
  <w:num w:numId="13" w16cid:durableId="309797541">
    <w:abstractNumId w:val="24"/>
  </w:num>
  <w:num w:numId="14" w16cid:durableId="681013509">
    <w:abstractNumId w:val="8"/>
  </w:num>
  <w:num w:numId="15" w16cid:durableId="757792896">
    <w:abstractNumId w:val="14"/>
  </w:num>
  <w:num w:numId="16" w16cid:durableId="516309736">
    <w:abstractNumId w:val="45"/>
  </w:num>
  <w:num w:numId="17" w16cid:durableId="1042437243">
    <w:abstractNumId w:val="37"/>
  </w:num>
  <w:num w:numId="18" w16cid:durableId="1595164589">
    <w:abstractNumId w:val="26"/>
  </w:num>
  <w:num w:numId="19" w16cid:durableId="2011832492">
    <w:abstractNumId w:val="21"/>
  </w:num>
  <w:num w:numId="20" w16cid:durableId="576330475">
    <w:abstractNumId w:val="42"/>
  </w:num>
  <w:num w:numId="21" w16cid:durableId="129253613">
    <w:abstractNumId w:val="2"/>
  </w:num>
  <w:num w:numId="22" w16cid:durableId="382488463">
    <w:abstractNumId w:val="17"/>
  </w:num>
  <w:num w:numId="23" w16cid:durableId="247738509">
    <w:abstractNumId w:val="23"/>
  </w:num>
  <w:num w:numId="24" w16cid:durableId="2017531699">
    <w:abstractNumId w:val="39"/>
  </w:num>
  <w:num w:numId="25" w16cid:durableId="1846362527">
    <w:abstractNumId w:val="29"/>
  </w:num>
  <w:num w:numId="26" w16cid:durableId="472871223">
    <w:abstractNumId w:val="6"/>
  </w:num>
  <w:num w:numId="27" w16cid:durableId="2117826379">
    <w:abstractNumId w:val="11"/>
  </w:num>
  <w:num w:numId="28" w16cid:durableId="407994124">
    <w:abstractNumId w:val="5"/>
  </w:num>
  <w:num w:numId="29" w16cid:durableId="2020812906">
    <w:abstractNumId w:val="12"/>
  </w:num>
  <w:num w:numId="30" w16cid:durableId="1306665489">
    <w:abstractNumId w:val="36"/>
  </w:num>
  <w:num w:numId="31" w16cid:durableId="1871724255">
    <w:abstractNumId w:val="22"/>
  </w:num>
  <w:num w:numId="32" w16cid:durableId="1029916370">
    <w:abstractNumId w:val="19"/>
  </w:num>
  <w:num w:numId="33" w16cid:durableId="615067580">
    <w:abstractNumId w:val="20"/>
  </w:num>
  <w:num w:numId="34" w16cid:durableId="508566322">
    <w:abstractNumId w:val="30"/>
  </w:num>
  <w:num w:numId="35" w16cid:durableId="1141924872">
    <w:abstractNumId w:val="1"/>
  </w:num>
  <w:num w:numId="36" w16cid:durableId="1344893596">
    <w:abstractNumId w:val="3"/>
  </w:num>
  <w:num w:numId="37" w16cid:durableId="1177158404">
    <w:abstractNumId w:val="41"/>
  </w:num>
  <w:num w:numId="38" w16cid:durableId="925765114">
    <w:abstractNumId w:val="4"/>
  </w:num>
  <w:num w:numId="39" w16cid:durableId="968706646">
    <w:abstractNumId w:val="13"/>
  </w:num>
  <w:num w:numId="40" w16cid:durableId="1209412154">
    <w:abstractNumId w:val="7"/>
  </w:num>
  <w:num w:numId="41" w16cid:durableId="1492675406">
    <w:abstractNumId w:val="0"/>
  </w:num>
  <w:num w:numId="42" w16cid:durableId="1052386677">
    <w:abstractNumId w:val="27"/>
  </w:num>
  <w:num w:numId="43" w16cid:durableId="1084914777">
    <w:abstractNumId w:val="9"/>
  </w:num>
  <w:num w:numId="44" w16cid:durableId="276104102">
    <w:abstractNumId w:val="10"/>
  </w:num>
  <w:num w:numId="45" w16cid:durableId="1542404926">
    <w:abstractNumId w:val="28"/>
  </w:num>
  <w:num w:numId="46" w16cid:durableId="1191261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20"/>
    <w:rsid w:val="00000331"/>
    <w:rsid w:val="000007A0"/>
    <w:rsid w:val="00000FA2"/>
    <w:rsid w:val="000010EC"/>
    <w:rsid w:val="000012FC"/>
    <w:rsid w:val="000015FC"/>
    <w:rsid w:val="00001D27"/>
    <w:rsid w:val="00003A06"/>
    <w:rsid w:val="00005509"/>
    <w:rsid w:val="000063DD"/>
    <w:rsid w:val="00006B33"/>
    <w:rsid w:val="00007509"/>
    <w:rsid w:val="00010898"/>
    <w:rsid w:val="000108AE"/>
    <w:rsid w:val="00011ECB"/>
    <w:rsid w:val="00012907"/>
    <w:rsid w:val="00012B57"/>
    <w:rsid w:val="00012F60"/>
    <w:rsid w:val="00013FAD"/>
    <w:rsid w:val="00014AA8"/>
    <w:rsid w:val="00015089"/>
    <w:rsid w:val="00015AFD"/>
    <w:rsid w:val="00016211"/>
    <w:rsid w:val="00016315"/>
    <w:rsid w:val="000248CA"/>
    <w:rsid w:val="00024A0E"/>
    <w:rsid w:val="00024D44"/>
    <w:rsid w:val="0002586C"/>
    <w:rsid w:val="0002683D"/>
    <w:rsid w:val="000272F6"/>
    <w:rsid w:val="0002781A"/>
    <w:rsid w:val="00027D3F"/>
    <w:rsid w:val="0003029C"/>
    <w:rsid w:val="00030763"/>
    <w:rsid w:val="0003076B"/>
    <w:rsid w:val="00032BFA"/>
    <w:rsid w:val="00032FF4"/>
    <w:rsid w:val="00035794"/>
    <w:rsid w:val="000357F0"/>
    <w:rsid w:val="00035F19"/>
    <w:rsid w:val="0003694D"/>
    <w:rsid w:val="00037288"/>
    <w:rsid w:val="00037946"/>
    <w:rsid w:val="000403DC"/>
    <w:rsid w:val="00040413"/>
    <w:rsid w:val="0004086E"/>
    <w:rsid w:val="00040960"/>
    <w:rsid w:val="00040FF6"/>
    <w:rsid w:val="0004131D"/>
    <w:rsid w:val="00041925"/>
    <w:rsid w:val="000435DC"/>
    <w:rsid w:val="00043781"/>
    <w:rsid w:val="00043C97"/>
    <w:rsid w:val="00044E50"/>
    <w:rsid w:val="000521C1"/>
    <w:rsid w:val="00053DB4"/>
    <w:rsid w:val="0005407A"/>
    <w:rsid w:val="0005639E"/>
    <w:rsid w:val="000604CA"/>
    <w:rsid w:val="00061A22"/>
    <w:rsid w:val="00062764"/>
    <w:rsid w:val="00063B82"/>
    <w:rsid w:val="00065CB0"/>
    <w:rsid w:val="00065FF1"/>
    <w:rsid w:val="00067FCC"/>
    <w:rsid w:val="00070230"/>
    <w:rsid w:val="0007142F"/>
    <w:rsid w:val="000722D3"/>
    <w:rsid w:val="0007314A"/>
    <w:rsid w:val="0007512D"/>
    <w:rsid w:val="0008032E"/>
    <w:rsid w:val="000823DB"/>
    <w:rsid w:val="000826A6"/>
    <w:rsid w:val="00083A0A"/>
    <w:rsid w:val="00085770"/>
    <w:rsid w:val="000857EB"/>
    <w:rsid w:val="000865D3"/>
    <w:rsid w:val="000906E4"/>
    <w:rsid w:val="0009352D"/>
    <w:rsid w:val="00093B00"/>
    <w:rsid w:val="00094821"/>
    <w:rsid w:val="0009502B"/>
    <w:rsid w:val="00097AA0"/>
    <w:rsid w:val="000A024E"/>
    <w:rsid w:val="000A0FA4"/>
    <w:rsid w:val="000A18E0"/>
    <w:rsid w:val="000A1AE4"/>
    <w:rsid w:val="000A32E9"/>
    <w:rsid w:val="000A3BF0"/>
    <w:rsid w:val="000A6D55"/>
    <w:rsid w:val="000A7484"/>
    <w:rsid w:val="000A79FA"/>
    <w:rsid w:val="000A7B88"/>
    <w:rsid w:val="000B078C"/>
    <w:rsid w:val="000B1187"/>
    <w:rsid w:val="000B12B8"/>
    <w:rsid w:val="000B1D4D"/>
    <w:rsid w:val="000B28E6"/>
    <w:rsid w:val="000B3058"/>
    <w:rsid w:val="000B38B0"/>
    <w:rsid w:val="000B427C"/>
    <w:rsid w:val="000B5C36"/>
    <w:rsid w:val="000B6373"/>
    <w:rsid w:val="000B6593"/>
    <w:rsid w:val="000B6ED4"/>
    <w:rsid w:val="000B759C"/>
    <w:rsid w:val="000C03AB"/>
    <w:rsid w:val="000C143A"/>
    <w:rsid w:val="000C14E1"/>
    <w:rsid w:val="000C254D"/>
    <w:rsid w:val="000C3D36"/>
    <w:rsid w:val="000C3D83"/>
    <w:rsid w:val="000C4A6A"/>
    <w:rsid w:val="000C55EC"/>
    <w:rsid w:val="000C56FF"/>
    <w:rsid w:val="000C65B8"/>
    <w:rsid w:val="000C69E6"/>
    <w:rsid w:val="000C6A96"/>
    <w:rsid w:val="000C6D0C"/>
    <w:rsid w:val="000D1AF4"/>
    <w:rsid w:val="000D3455"/>
    <w:rsid w:val="000D4A9C"/>
    <w:rsid w:val="000E22CB"/>
    <w:rsid w:val="000E2DD8"/>
    <w:rsid w:val="000E43B4"/>
    <w:rsid w:val="000E5414"/>
    <w:rsid w:val="000E557B"/>
    <w:rsid w:val="000E621B"/>
    <w:rsid w:val="000E6FA5"/>
    <w:rsid w:val="000E6FEA"/>
    <w:rsid w:val="000F05F0"/>
    <w:rsid w:val="000F1348"/>
    <w:rsid w:val="000F134E"/>
    <w:rsid w:val="000F4C05"/>
    <w:rsid w:val="000F7289"/>
    <w:rsid w:val="000F7CFF"/>
    <w:rsid w:val="00100357"/>
    <w:rsid w:val="0010089B"/>
    <w:rsid w:val="00103976"/>
    <w:rsid w:val="00103A06"/>
    <w:rsid w:val="00104C94"/>
    <w:rsid w:val="00104DDB"/>
    <w:rsid w:val="00105BC2"/>
    <w:rsid w:val="001112CA"/>
    <w:rsid w:val="00112260"/>
    <w:rsid w:val="00112A98"/>
    <w:rsid w:val="00113218"/>
    <w:rsid w:val="00114F3F"/>
    <w:rsid w:val="0011562A"/>
    <w:rsid w:val="0011610B"/>
    <w:rsid w:val="00117A8C"/>
    <w:rsid w:val="0012257A"/>
    <w:rsid w:val="001225CC"/>
    <w:rsid w:val="001238D9"/>
    <w:rsid w:val="00130F6D"/>
    <w:rsid w:val="00131079"/>
    <w:rsid w:val="00133EFF"/>
    <w:rsid w:val="001362E0"/>
    <w:rsid w:val="00136C7B"/>
    <w:rsid w:val="00137A54"/>
    <w:rsid w:val="00137EB9"/>
    <w:rsid w:val="00140397"/>
    <w:rsid w:val="00140778"/>
    <w:rsid w:val="00140ABA"/>
    <w:rsid w:val="00142064"/>
    <w:rsid w:val="001426AC"/>
    <w:rsid w:val="00143AD3"/>
    <w:rsid w:val="00145037"/>
    <w:rsid w:val="0014647E"/>
    <w:rsid w:val="00147774"/>
    <w:rsid w:val="00154052"/>
    <w:rsid w:val="001540AC"/>
    <w:rsid w:val="00155CE3"/>
    <w:rsid w:val="00156FA0"/>
    <w:rsid w:val="00157715"/>
    <w:rsid w:val="00160457"/>
    <w:rsid w:val="00160776"/>
    <w:rsid w:val="00160E37"/>
    <w:rsid w:val="0016208D"/>
    <w:rsid w:val="00163032"/>
    <w:rsid w:val="00163FE9"/>
    <w:rsid w:val="00166893"/>
    <w:rsid w:val="00166BED"/>
    <w:rsid w:val="001708CB"/>
    <w:rsid w:val="001723A1"/>
    <w:rsid w:val="001728BA"/>
    <w:rsid w:val="001769FC"/>
    <w:rsid w:val="001771B0"/>
    <w:rsid w:val="001810D0"/>
    <w:rsid w:val="00181B6D"/>
    <w:rsid w:val="00182EB9"/>
    <w:rsid w:val="001832BD"/>
    <w:rsid w:val="0018336E"/>
    <w:rsid w:val="0018367F"/>
    <w:rsid w:val="00183B6B"/>
    <w:rsid w:val="00186721"/>
    <w:rsid w:val="00190ACB"/>
    <w:rsid w:val="00190CA8"/>
    <w:rsid w:val="001921FF"/>
    <w:rsid w:val="0019512C"/>
    <w:rsid w:val="00195D81"/>
    <w:rsid w:val="001960E2"/>
    <w:rsid w:val="00196E83"/>
    <w:rsid w:val="00196EAB"/>
    <w:rsid w:val="00197AD4"/>
    <w:rsid w:val="00197FD1"/>
    <w:rsid w:val="001A0A6C"/>
    <w:rsid w:val="001A272F"/>
    <w:rsid w:val="001A2BB4"/>
    <w:rsid w:val="001A2F36"/>
    <w:rsid w:val="001A4D16"/>
    <w:rsid w:val="001A4E2B"/>
    <w:rsid w:val="001A6490"/>
    <w:rsid w:val="001A6719"/>
    <w:rsid w:val="001A7C0B"/>
    <w:rsid w:val="001A7C27"/>
    <w:rsid w:val="001B071D"/>
    <w:rsid w:val="001B0BD0"/>
    <w:rsid w:val="001B22D9"/>
    <w:rsid w:val="001B2879"/>
    <w:rsid w:val="001B487A"/>
    <w:rsid w:val="001B6986"/>
    <w:rsid w:val="001C0326"/>
    <w:rsid w:val="001C2794"/>
    <w:rsid w:val="001C2B63"/>
    <w:rsid w:val="001C3771"/>
    <w:rsid w:val="001C3E3F"/>
    <w:rsid w:val="001C4DD6"/>
    <w:rsid w:val="001C5EC5"/>
    <w:rsid w:val="001C639E"/>
    <w:rsid w:val="001C7596"/>
    <w:rsid w:val="001C79E2"/>
    <w:rsid w:val="001D1503"/>
    <w:rsid w:val="001D2C40"/>
    <w:rsid w:val="001D32A2"/>
    <w:rsid w:val="001D3D6B"/>
    <w:rsid w:val="001D47F8"/>
    <w:rsid w:val="001D4825"/>
    <w:rsid w:val="001D6598"/>
    <w:rsid w:val="001D67CE"/>
    <w:rsid w:val="001D7227"/>
    <w:rsid w:val="001D7891"/>
    <w:rsid w:val="001D7E13"/>
    <w:rsid w:val="001E2031"/>
    <w:rsid w:val="001E2A19"/>
    <w:rsid w:val="001E4D77"/>
    <w:rsid w:val="001E59A9"/>
    <w:rsid w:val="001E741B"/>
    <w:rsid w:val="001E7A3B"/>
    <w:rsid w:val="001F1378"/>
    <w:rsid w:val="001F34D0"/>
    <w:rsid w:val="001F52DB"/>
    <w:rsid w:val="001F5AA5"/>
    <w:rsid w:val="001F633F"/>
    <w:rsid w:val="001F6C61"/>
    <w:rsid w:val="0020040E"/>
    <w:rsid w:val="00200C07"/>
    <w:rsid w:val="00201738"/>
    <w:rsid w:val="00202168"/>
    <w:rsid w:val="002029A7"/>
    <w:rsid w:val="00205FEC"/>
    <w:rsid w:val="00206200"/>
    <w:rsid w:val="0020634D"/>
    <w:rsid w:val="0020642B"/>
    <w:rsid w:val="00207652"/>
    <w:rsid w:val="0021017F"/>
    <w:rsid w:val="00210BB3"/>
    <w:rsid w:val="00211BDD"/>
    <w:rsid w:val="002146DE"/>
    <w:rsid w:val="002160C9"/>
    <w:rsid w:val="0021658B"/>
    <w:rsid w:val="0021672C"/>
    <w:rsid w:val="00216F16"/>
    <w:rsid w:val="00216F4D"/>
    <w:rsid w:val="002216A2"/>
    <w:rsid w:val="00223882"/>
    <w:rsid w:val="00225A0C"/>
    <w:rsid w:val="00225CBD"/>
    <w:rsid w:val="00226CF4"/>
    <w:rsid w:val="00227712"/>
    <w:rsid w:val="00230443"/>
    <w:rsid w:val="00230B87"/>
    <w:rsid w:val="00231DD8"/>
    <w:rsid w:val="00232E3B"/>
    <w:rsid w:val="002336DD"/>
    <w:rsid w:val="002336E8"/>
    <w:rsid w:val="002348A3"/>
    <w:rsid w:val="002349C4"/>
    <w:rsid w:val="00235877"/>
    <w:rsid w:val="00235DC1"/>
    <w:rsid w:val="00236E8C"/>
    <w:rsid w:val="002400DC"/>
    <w:rsid w:val="00240B6D"/>
    <w:rsid w:val="00240ED5"/>
    <w:rsid w:val="00242A90"/>
    <w:rsid w:val="00243CB8"/>
    <w:rsid w:val="002449E3"/>
    <w:rsid w:val="00244AF0"/>
    <w:rsid w:val="00244E26"/>
    <w:rsid w:val="002479F1"/>
    <w:rsid w:val="00247D05"/>
    <w:rsid w:val="0025040D"/>
    <w:rsid w:val="00250FB7"/>
    <w:rsid w:val="002528FB"/>
    <w:rsid w:val="00252C37"/>
    <w:rsid w:val="002530DE"/>
    <w:rsid w:val="0025330C"/>
    <w:rsid w:val="00253C8E"/>
    <w:rsid w:val="00254E1B"/>
    <w:rsid w:val="0025569C"/>
    <w:rsid w:val="00257D0A"/>
    <w:rsid w:val="00262D80"/>
    <w:rsid w:val="00262E0C"/>
    <w:rsid w:val="00267819"/>
    <w:rsid w:val="00271576"/>
    <w:rsid w:val="00272623"/>
    <w:rsid w:val="00273AF5"/>
    <w:rsid w:val="00277BAE"/>
    <w:rsid w:val="002805E2"/>
    <w:rsid w:val="00280D55"/>
    <w:rsid w:val="002812BE"/>
    <w:rsid w:val="002817B8"/>
    <w:rsid w:val="00281E46"/>
    <w:rsid w:val="0028261E"/>
    <w:rsid w:val="002836ED"/>
    <w:rsid w:val="00284CE3"/>
    <w:rsid w:val="00286686"/>
    <w:rsid w:val="00286DB3"/>
    <w:rsid w:val="002875A3"/>
    <w:rsid w:val="00291C4A"/>
    <w:rsid w:val="00292C90"/>
    <w:rsid w:val="00294331"/>
    <w:rsid w:val="002943C8"/>
    <w:rsid w:val="00295B9B"/>
    <w:rsid w:val="0029775A"/>
    <w:rsid w:val="0029781C"/>
    <w:rsid w:val="00297D7B"/>
    <w:rsid w:val="00297F12"/>
    <w:rsid w:val="002A047D"/>
    <w:rsid w:val="002A08AF"/>
    <w:rsid w:val="002A1823"/>
    <w:rsid w:val="002A3182"/>
    <w:rsid w:val="002A3EE1"/>
    <w:rsid w:val="002A49D5"/>
    <w:rsid w:val="002A5831"/>
    <w:rsid w:val="002A66F1"/>
    <w:rsid w:val="002A6706"/>
    <w:rsid w:val="002A7083"/>
    <w:rsid w:val="002B0462"/>
    <w:rsid w:val="002B29ED"/>
    <w:rsid w:val="002B3870"/>
    <w:rsid w:val="002B67B4"/>
    <w:rsid w:val="002C0037"/>
    <w:rsid w:val="002C0178"/>
    <w:rsid w:val="002C0A0C"/>
    <w:rsid w:val="002C1C16"/>
    <w:rsid w:val="002C2B0C"/>
    <w:rsid w:val="002C2C55"/>
    <w:rsid w:val="002C4981"/>
    <w:rsid w:val="002C559B"/>
    <w:rsid w:val="002C57DA"/>
    <w:rsid w:val="002C5B66"/>
    <w:rsid w:val="002C5F5C"/>
    <w:rsid w:val="002D2CFE"/>
    <w:rsid w:val="002D3663"/>
    <w:rsid w:val="002D585D"/>
    <w:rsid w:val="002D6B1F"/>
    <w:rsid w:val="002D78B1"/>
    <w:rsid w:val="002E0BD5"/>
    <w:rsid w:val="002E2484"/>
    <w:rsid w:val="002E4EFE"/>
    <w:rsid w:val="002E5238"/>
    <w:rsid w:val="002E5FB7"/>
    <w:rsid w:val="002E70F9"/>
    <w:rsid w:val="002F1E5A"/>
    <w:rsid w:val="002F2BDF"/>
    <w:rsid w:val="002F4AAC"/>
    <w:rsid w:val="002F4DA9"/>
    <w:rsid w:val="002F5B93"/>
    <w:rsid w:val="002F79BE"/>
    <w:rsid w:val="003004D1"/>
    <w:rsid w:val="00301C5D"/>
    <w:rsid w:val="00301E73"/>
    <w:rsid w:val="00302C84"/>
    <w:rsid w:val="0030303E"/>
    <w:rsid w:val="0030329F"/>
    <w:rsid w:val="00305304"/>
    <w:rsid w:val="00305B10"/>
    <w:rsid w:val="003101B2"/>
    <w:rsid w:val="0031150B"/>
    <w:rsid w:val="00312ACA"/>
    <w:rsid w:val="0031507E"/>
    <w:rsid w:val="0031531A"/>
    <w:rsid w:val="003164B8"/>
    <w:rsid w:val="003200EF"/>
    <w:rsid w:val="00322047"/>
    <w:rsid w:val="003231A0"/>
    <w:rsid w:val="00324C94"/>
    <w:rsid w:val="003256DE"/>
    <w:rsid w:val="003261D5"/>
    <w:rsid w:val="003270E5"/>
    <w:rsid w:val="0032715B"/>
    <w:rsid w:val="003278F9"/>
    <w:rsid w:val="003337B8"/>
    <w:rsid w:val="0033549C"/>
    <w:rsid w:val="00335B61"/>
    <w:rsid w:val="0033654C"/>
    <w:rsid w:val="003406A1"/>
    <w:rsid w:val="00342450"/>
    <w:rsid w:val="003428B2"/>
    <w:rsid w:val="00342A3B"/>
    <w:rsid w:val="00342D97"/>
    <w:rsid w:val="00343944"/>
    <w:rsid w:val="00343E82"/>
    <w:rsid w:val="00344922"/>
    <w:rsid w:val="00345A17"/>
    <w:rsid w:val="00346C44"/>
    <w:rsid w:val="00346DD5"/>
    <w:rsid w:val="00347359"/>
    <w:rsid w:val="0034765D"/>
    <w:rsid w:val="0034766A"/>
    <w:rsid w:val="00347761"/>
    <w:rsid w:val="003515E2"/>
    <w:rsid w:val="00352F8A"/>
    <w:rsid w:val="00353BB4"/>
    <w:rsid w:val="003551F3"/>
    <w:rsid w:val="00356542"/>
    <w:rsid w:val="00356F3A"/>
    <w:rsid w:val="00362006"/>
    <w:rsid w:val="00362EEB"/>
    <w:rsid w:val="00364093"/>
    <w:rsid w:val="00365F2C"/>
    <w:rsid w:val="0036646E"/>
    <w:rsid w:val="0036665D"/>
    <w:rsid w:val="00367057"/>
    <w:rsid w:val="003670CB"/>
    <w:rsid w:val="003673F6"/>
    <w:rsid w:val="00367E6F"/>
    <w:rsid w:val="00370A78"/>
    <w:rsid w:val="00370CE0"/>
    <w:rsid w:val="00372D17"/>
    <w:rsid w:val="00373917"/>
    <w:rsid w:val="00374F48"/>
    <w:rsid w:val="00374F7F"/>
    <w:rsid w:val="0037630A"/>
    <w:rsid w:val="0037723B"/>
    <w:rsid w:val="00377498"/>
    <w:rsid w:val="00377F11"/>
    <w:rsid w:val="003825BF"/>
    <w:rsid w:val="00387366"/>
    <w:rsid w:val="0039190F"/>
    <w:rsid w:val="003927DF"/>
    <w:rsid w:val="00392CEA"/>
    <w:rsid w:val="00392FA1"/>
    <w:rsid w:val="003934FF"/>
    <w:rsid w:val="003937FF"/>
    <w:rsid w:val="00393EFF"/>
    <w:rsid w:val="00393F44"/>
    <w:rsid w:val="003943B6"/>
    <w:rsid w:val="00395A97"/>
    <w:rsid w:val="0039703B"/>
    <w:rsid w:val="003A0383"/>
    <w:rsid w:val="003A05A9"/>
    <w:rsid w:val="003A164D"/>
    <w:rsid w:val="003A1B6D"/>
    <w:rsid w:val="003A1FAA"/>
    <w:rsid w:val="003A2FED"/>
    <w:rsid w:val="003A3027"/>
    <w:rsid w:val="003A4480"/>
    <w:rsid w:val="003A4BD5"/>
    <w:rsid w:val="003A4E76"/>
    <w:rsid w:val="003A52E5"/>
    <w:rsid w:val="003A5525"/>
    <w:rsid w:val="003A61AC"/>
    <w:rsid w:val="003A6D53"/>
    <w:rsid w:val="003A704A"/>
    <w:rsid w:val="003B10F6"/>
    <w:rsid w:val="003B1178"/>
    <w:rsid w:val="003B3A22"/>
    <w:rsid w:val="003B5EDC"/>
    <w:rsid w:val="003B6526"/>
    <w:rsid w:val="003B7989"/>
    <w:rsid w:val="003C0A43"/>
    <w:rsid w:val="003C12F5"/>
    <w:rsid w:val="003C1677"/>
    <w:rsid w:val="003C41B3"/>
    <w:rsid w:val="003C44D4"/>
    <w:rsid w:val="003C5E35"/>
    <w:rsid w:val="003C60F5"/>
    <w:rsid w:val="003D05F8"/>
    <w:rsid w:val="003D1280"/>
    <w:rsid w:val="003D16F0"/>
    <w:rsid w:val="003D179A"/>
    <w:rsid w:val="003D1B2F"/>
    <w:rsid w:val="003D2350"/>
    <w:rsid w:val="003D2E42"/>
    <w:rsid w:val="003D5883"/>
    <w:rsid w:val="003D5CA2"/>
    <w:rsid w:val="003D5E63"/>
    <w:rsid w:val="003D6205"/>
    <w:rsid w:val="003D7020"/>
    <w:rsid w:val="003D7F19"/>
    <w:rsid w:val="003E17AD"/>
    <w:rsid w:val="003E19AD"/>
    <w:rsid w:val="003E1A90"/>
    <w:rsid w:val="003E21EE"/>
    <w:rsid w:val="003E3B89"/>
    <w:rsid w:val="003E4F39"/>
    <w:rsid w:val="003E5927"/>
    <w:rsid w:val="003F0333"/>
    <w:rsid w:val="003F2E1F"/>
    <w:rsid w:val="003F3580"/>
    <w:rsid w:val="003F50A4"/>
    <w:rsid w:val="003F6FC7"/>
    <w:rsid w:val="003F7875"/>
    <w:rsid w:val="0040029E"/>
    <w:rsid w:val="0040198D"/>
    <w:rsid w:val="00407D56"/>
    <w:rsid w:val="00411E55"/>
    <w:rsid w:val="00412521"/>
    <w:rsid w:val="00413103"/>
    <w:rsid w:val="00413668"/>
    <w:rsid w:val="00415B44"/>
    <w:rsid w:val="00416E89"/>
    <w:rsid w:val="00416FCF"/>
    <w:rsid w:val="00420B82"/>
    <w:rsid w:val="00423171"/>
    <w:rsid w:val="00423275"/>
    <w:rsid w:val="0042442E"/>
    <w:rsid w:val="004245DE"/>
    <w:rsid w:val="00427595"/>
    <w:rsid w:val="00427C36"/>
    <w:rsid w:val="00431ADF"/>
    <w:rsid w:val="0043232D"/>
    <w:rsid w:val="00432BD2"/>
    <w:rsid w:val="00434074"/>
    <w:rsid w:val="00435047"/>
    <w:rsid w:val="00437E21"/>
    <w:rsid w:val="004422AD"/>
    <w:rsid w:val="0044350C"/>
    <w:rsid w:val="0044403F"/>
    <w:rsid w:val="00446CE4"/>
    <w:rsid w:val="00446CF5"/>
    <w:rsid w:val="0044744F"/>
    <w:rsid w:val="00450EAA"/>
    <w:rsid w:val="004526B3"/>
    <w:rsid w:val="00453564"/>
    <w:rsid w:val="004535D9"/>
    <w:rsid w:val="00453D70"/>
    <w:rsid w:val="00454190"/>
    <w:rsid w:val="00455E9D"/>
    <w:rsid w:val="00460084"/>
    <w:rsid w:val="00460A50"/>
    <w:rsid w:val="00461EC7"/>
    <w:rsid w:val="00463100"/>
    <w:rsid w:val="004631B4"/>
    <w:rsid w:val="00463AEE"/>
    <w:rsid w:val="00464552"/>
    <w:rsid w:val="00465A10"/>
    <w:rsid w:val="00465AE1"/>
    <w:rsid w:val="00467A94"/>
    <w:rsid w:val="00470426"/>
    <w:rsid w:val="00471912"/>
    <w:rsid w:val="00471FA1"/>
    <w:rsid w:val="0047213B"/>
    <w:rsid w:val="00472951"/>
    <w:rsid w:val="00472D26"/>
    <w:rsid w:val="00474418"/>
    <w:rsid w:val="0047492A"/>
    <w:rsid w:val="00474E1B"/>
    <w:rsid w:val="00474F09"/>
    <w:rsid w:val="00475192"/>
    <w:rsid w:val="00475A4C"/>
    <w:rsid w:val="00475EC3"/>
    <w:rsid w:val="00481A11"/>
    <w:rsid w:val="00481DE2"/>
    <w:rsid w:val="004831AF"/>
    <w:rsid w:val="00483CF2"/>
    <w:rsid w:val="004847E4"/>
    <w:rsid w:val="004862F6"/>
    <w:rsid w:val="00487EA5"/>
    <w:rsid w:val="00492554"/>
    <w:rsid w:val="004926B5"/>
    <w:rsid w:val="00492BED"/>
    <w:rsid w:val="0049324C"/>
    <w:rsid w:val="004935D2"/>
    <w:rsid w:val="00493683"/>
    <w:rsid w:val="0049512C"/>
    <w:rsid w:val="004963D8"/>
    <w:rsid w:val="00496AD2"/>
    <w:rsid w:val="004A0C6A"/>
    <w:rsid w:val="004A1D81"/>
    <w:rsid w:val="004A2973"/>
    <w:rsid w:val="004A31B6"/>
    <w:rsid w:val="004A3D25"/>
    <w:rsid w:val="004A62AD"/>
    <w:rsid w:val="004A678C"/>
    <w:rsid w:val="004B0AF9"/>
    <w:rsid w:val="004B1026"/>
    <w:rsid w:val="004B172B"/>
    <w:rsid w:val="004B4711"/>
    <w:rsid w:val="004B4FF1"/>
    <w:rsid w:val="004B797D"/>
    <w:rsid w:val="004B7FC9"/>
    <w:rsid w:val="004C087D"/>
    <w:rsid w:val="004C197D"/>
    <w:rsid w:val="004C416F"/>
    <w:rsid w:val="004C4C4B"/>
    <w:rsid w:val="004C6611"/>
    <w:rsid w:val="004C7E86"/>
    <w:rsid w:val="004D0698"/>
    <w:rsid w:val="004D31BF"/>
    <w:rsid w:val="004D3674"/>
    <w:rsid w:val="004D36E7"/>
    <w:rsid w:val="004D38C3"/>
    <w:rsid w:val="004D518A"/>
    <w:rsid w:val="004D682E"/>
    <w:rsid w:val="004D6C96"/>
    <w:rsid w:val="004D6FD6"/>
    <w:rsid w:val="004D7374"/>
    <w:rsid w:val="004D7A62"/>
    <w:rsid w:val="004E0E1E"/>
    <w:rsid w:val="004E279E"/>
    <w:rsid w:val="004E3E20"/>
    <w:rsid w:val="004E5F2D"/>
    <w:rsid w:val="004E6A30"/>
    <w:rsid w:val="004E79B8"/>
    <w:rsid w:val="004E7B38"/>
    <w:rsid w:val="004E7CC8"/>
    <w:rsid w:val="004F0826"/>
    <w:rsid w:val="004F14EC"/>
    <w:rsid w:val="004F18E2"/>
    <w:rsid w:val="004F28E5"/>
    <w:rsid w:val="004F3169"/>
    <w:rsid w:val="004F325F"/>
    <w:rsid w:val="004F392F"/>
    <w:rsid w:val="004F3ACA"/>
    <w:rsid w:val="004F59BB"/>
    <w:rsid w:val="004F6302"/>
    <w:rsid w:val="004F6649"/>
    <w:rsid w:val="004F7C96"/>
    <w:rsid w:val="0050317C"/>
    <w:rsid w:val="005038E1"/>
    <w:rsid w:val="00503B32"/>
    <w:rsid w:val="005057CE"/>
    <w:rsid w:val="005101CA"/>
    <w:rsid w:val="00510C1F"/>
    <w:rsid w:val="00511158"/>
    <w:rsid w:val="0051166C"/>
    <w:rsid w:val="00511C10"/>
    <w:rsid w:val="00512782"/>
    <w:rsid w:val="00513C3B"/>
    <w:rsid w:val="00514027"/>
    <w:rsid w:val="005148A9"/>
    <w:rsid w:val="00514D92"/>
    <w:rsid w:val="00515345"/>
    <w:rsid w:val="00515805"/>
    <w:rsid w:val="00515BDE"/>
    <w:rsid w:val="00515FF6"/>
    <w:rsid w:val="0051605C"/>
    <w:rsid w:val="00516499"/>
    <w:rsid w:val="00520E61"/>
    <w:rsid w:val="00521199"/>
    <w:rsid w:val="00521A2A"/>
    <w:rsid w:val="00521A69"/>
    <w:rsid w:val="00521F93"/>
    <w:rsid w:val="005248A4"/>
    <w:rsid w:val="00524FB4"/>
    <w:rsid w:val="00525918"/>
    <w:rsid w:val="00525929"/>
    <w:rsid w:val="005268B2"/>
    <w:rsid w:val="00526EC4"/>
    <w:rsid w:val="0052731D"/>
    <w:rsid w:val="00527C11"/>
    <w:rsid w:val="00531823"/>
    <w:rsid w:val="00532CB8"/>
    <w:rsid w:val="00532EBB"/>
    <w:rsid w:val="005339C7"/>
    <w:rsid w:val="00533DEB"/>
    <w:rsid w:val="00534906"/>
    <w:rsid w:val="00535286"/>
    <w:rsid w:val="00536042"/>
    <w:rsid w:val="005369F7"/>
    <w:rsid w:val="00536CEE"/>
    <w:rsid w:val="00536E48"/>
    <w:rsid w:val="005403E3"/>
    <w:rsid w:val="00540F4B"/>
    <w:rsid w:val="005453B3"/>
    <w:rsid w:val="00546B29"/>
    <w:rsid w:val="0054728D"/>
    <w:rsid w:val="0055025A"/>
    <w:rsid w:val="00551213"/>
    <w:rsid w:val="00551450"/>
    <w:rsid w:val="00551B79"/>
    <w:rsid w:val="00555716"/>
    <w:rsid w:val="00556CE7"/>
    <w:rsid w:val="00556EBB"/>
    <w:rsid w:val="005608A1"/>
    <w:rsid w:val="00561518"/>
    <w:rsid w:val="005615A8"/>
    <w:rsid w:val="00563776"/>
    <w:rsid w:val="005639CE"/>
    <w:rsid w:val="00563A04"/>
    <w:rsid w:val="00563E5F"/>
    <w:rsid w:val="00564535"/>
    <w:rsid w:val="005652E9"/>
    <w:rsid w:val="00566304"/>
    <w:rsid w:val="00567D57"/>
    <w:rsid w:val="005713FF"/>
    <w:rsid w:val="005718A8"/>
    <w:rsid w:val="00571AC0"/>
    <w:rsid w:val="005733FE"/>
    <w:rsid w:val="00574E69"/>
    <w:rsid w:val="00575CA7"/>
    <w:rsid w:val="0057630A"/>
    <w:rsid w:val="005767D8"/>
    <w:rsid w:val="00577129"/>
    <w:rsid w:val="00577161"/>
    <w:rsid w:val="0058030B"/>
    <w:rsid w:val="005827B7"/>
    <w:rsid w:val="00582EFF"/>
    <w:rsid w:val="00583807"/>
    <w:rsid w:val="00586D73"/>
    <w:rsid w:val="005877E3"/>
    <w:rsid w:val="00587FD5"/>
    <w:rsid w:val="00590CDA"/>
    <w:rsid w:val="005915DE"/>
    <w:rsid w:val="00591723"/>
    <w:rsid w:val="00592098"/>
    <w:rsid w:val="00592489"/>
    <w:rsid w:val="00592A89"/>
    <w:rsid w:val="00593671"/>
    <w:rsid w:val="00596665"/>
    <w:rsid w:val="0059711E"/>
    <w:rsid w:val="00597F32"/>
    <w:rsid w:val="005A06C0"/>
    <w:rsid w:val="005A0DD4"/>
    <w:rsid w:val="005A2E3C"/>
    <w:rsid w:val="005A64AB"/>
    <w:rsid w:val="005A66F2"/>
    <w:rsid w:val="005A6F7E"/>
    <w:rsid w:val="005A7BAE"/>
    <w:rsid w:val="005B0340"/>
    <w:rsid w:val="005B199E"/>
    <w:rsid w:val="005B20B1"/>
    <w:rsid w:val="005B3BA2"/>
    <w:rsid w:val="005B3E7A"/>
    <w:rsid w:val="005B5C32"/>
    <w:rsid w:val="005B7FF0"/>
    <w:rsid w:val="005C0260"/>
    <w:rsid w:val="005C1599"/>
    <w:rsid w:val="005C2A6D"/>
    <w:rsid w:val="005C4573"/>
    <w:rsid w:val="005C67E2"/>
    <w:rsid w:val="005C71A5"/>
    <w:rsid w:val="005C7D3D"/>
    <w:rsid w:val="005D1FE8"/>
    <w:rsid w:val="005D22B3"/>
    <w:rsid w:val="005D2687"/>
    <w:rsid w:val="005D4BE4"/>
    <w:rsid w:val="005D4CD4"/>
    <w:rsid w:val="005D6852"/>
    <w:rsid w:val="005D6C6A"/>
    <w:rsid w:val="005D6EE6"/>
    <w:rsid w:val="005D7C57"/>
    <w:rsid w:val="005D7E30"/>
    <w:rsid w:val="005E01D7"/>
    <w:rsid w:val="005E226A"/>
    <w:rsid w:val="005E227C"/>
    <w:rsid w:val="005E2C9C"/>
    <w:rsid w:val="005E39DF"/>
    <w:rsid w:val="005E47BF"/>
    <w:rsid w:val="005E481A"/>
    <w:rsid w:val="005F0410"/>
    <w:rsid w:val="005F1441"/>
    <w:rsid w:val="005F2ABD"/>
    <w:rsid w:val="005F34A7"/>
    <w:rsid w:val="005F37E7"/>
    <w:rsid w:val="005F426B"/>
    <w:rsid w:val="005F5F14"/>
    <w:rsid w:val="005F7CE5"/>
    <w:rsid w:val="00600237"/>
    <w:rsid w:val="00600F69"/>
    <w:rsid w:val="006021EE"/>
    <w:rsid w:val="006031E1"/>
    <w:rsid w:val="00605C0B"/>
    <w:rsid w:val="00605F50"/>
    <w:rsid w:val="00606007"/>
    <w:rsid w:val="006064B0"/>
    <w:rsid w:val="00606D56"/>
    <w:rsid w:val="00607848"/>
    <w:rsid w:val="00607A69"/>
    <w:rsid w:val="00607C4A"/>
    <w:rsid w:val="00610EAB"/>
    <w:rsid w:val="006136DB"/>
    <w:rsid w:val="0061467A"/>
    <w:rsid w:val="00614CE8"/>
    <w:rsid w:val="0061566D"/>
    <w:rsid w:val="00615DEF"/>
    <w:rsid w:val="00616240"/>
    <w:rsid w:val="00617D64"/>
    <w:rsid w:val="00617FE1"/>
    <w:rsid w:val="00620197"/>
    <w:rsid w:val="00620601"/>
    <w:rsid w:val="006211B9"/>
    <w:rsid w:val="00622FC1"/>
    <w:rsid w:val="00623CBE"/>
    <w:rsid w:val="00625A7C"/>
    <w:rsid w:val="00626978"/>
    <w:rsid w:val="00627496"/>
    <w:rsid w:val="00627D0F"/>
    <w:rsid w:val="00630D99"/>
    <w:rsid w:val="00633F60"/>
    <w:rsid w:val="00635E6E"/>
    <w:rsid w:val="00640642"/>
    <w:rsid w:val="00640A6C"/>
    <w:rsid w:val="00640E74"/>
    <w:rsid w:val="00641C67"/>
    <w:rsid w:val="006422F2"/>
    <w:rsid w:val="00643476"/>
    <w:rsid w:val="006448EF"/>
    <w:rsid w:val="00645616"/>
    <w:rsid w:val="006461E0"/>
    <w:rsid w:val="006466AD"/>
    <w:rsid w:val="006471D8"/>
    <w:rsid w:val="00647280"/>
    <w:rsid w:val="006474A2"/>
    <w:rsid w:val="00651CAD"/>
    <w:rsid w:val="00651D20"/>
    <w:rsid w:val="00651E66"/>
    <w:rsid w:val="00653863"/>
    <w:rsid w:val="006557B6"/>
    <w:rsid w:val="00655A12"/>
    <w:rsid w:val="00655E89"/>
    <w:rsid w:val="0065652C"/>
    <w:rsid w:val="0065659A"/>
    <w:rsid w:val="00660173"/>
    <w:rsid w:val="0066035F"/>
    <w:rsid w:val="00660748"/>
    <w:rsid w:val="00660960"/>
    <w:rsid w:val="00660F65"/>
    <w:rsid w:val="006617CE"/>
    <w:rsid w:val="006627C2"/>
    <w:rsid w:val="00662BC5"/>
    <w:rsid w:val="00662DBE"/>
    <w:rsid w:val="0066300F"/>
    <w:rsid w:val="00664CA8"/>
    <w:rsid w:val="00665BD1"/>
    <w:rsid w:val="00666D34"/>
    <w:rsid w:val="00666FE9"/>
    <w:rsid w:val="0066780C"/>
    <w:rsid w:val="00667C60"/>
    <w:rsid w:val="00670295"/>
    <w:rsid w:val="00672F6B"/>
    <w:rsid w:val="00673ACE"/>
    <w:rsid w:val="00673E6C"/>
    <w:rsid w:val="0067648C"/>
    <w:rsid w:val="006768FE"/>
    <w:rsid w:val="006775B4"/>
    <w:rsid w:val="0068002A"/>
    <w:rsid w:val="00681704"/>
    <w:rsid w:val="00682BEA"/>
    <w:rsid w:val="00683AB4"/>
    <w:rsid w:val="00684934"/>
    <w:rsid w:val="00684FDD"/>
    <w:rsid w:val="006851D5"/>
    <w:rsid w:val="006858B8"/>
    <w:rsid w:val="00686026"/>
    <w:rsid w:val="00690FCC"/>
    <w:rsid w:val="00691A1D"/>
    <w:rsid w:val="00691AF3"/>
    <w:rsid w:val="00693BA1"/>
    <w:rsid w:val="00693F8F"/>
    <w:rsid w:val="006953F1"/>
    <w:rsid w:val="0069638F"/>
    <w:rsid w:val="00697596"/>
    <w:rsid w:val="00697DCA"/>
    <w:rsid w:val="006A1779"/>
    <w:rsid w:val="006A22F1"/>
    <w:rsid w:val="006A2378"/>
    <w:rsid w:val="006A46D8"/>
    <w:rsid w:val="006A4BF5"/>
    <w:rsid w:val="006A57F0"/>
    <w:rsid w:val="006A5BAE"/>
    <w:rsid w:val="006A60D4"/>
    <w:rsid w:val="006A6E0B"/>
    <w:rsid w:val="006B04C8"/>
    <w:rsid w:val="006B0738"/>
    <w:rsid w:val="006B0747"/>
    <w:rsid w:val="006B0DF4"/>
    <w:rsid w:val="006B1806"/>
    <w:rsid w:val="006B26D5"/>
    <w:rsid w:val="006B2F76"/>
    <w:rsid w:val="006B39BD"/>
    <w:rsid w:val="006B58A4"/>
    <w:rsid w:val="006B632A"/>
    <w:rsid w:val="006B6A16"/>
    <w:rsid w:val="006B73A7"/>
    <w:rsid w:val="006C063C"/>
    <w:rsid w:val="006C1BBB"/>
    <w:rsid w:val="006C27F3"/>
    <w:rsid w:val="006C4BDE"/>
    <w:rsid w:val="006C59D0"/>
    <w:rsid w:val="006C745D"/>
    <w:rsid w:val="006C78E3"/>
    <w:rsid w:val="006D014D"/>
    <w:rsid w:val="006D13D3"/>
    <w:rsid w:val="006D1CC2"/>
    <w:rsid w:val="006D308D"/>
    <w:rsid w:val="006D5F75"/>
    <w:rsid w:val="006D7966"/>
    <w:rsid w:val="006D7F1A"/>
    <w:rsid w:val="006E0575"/>
    <w:rsid w:val="006E58F9"/>
    <w:rsid w:val="006E6192"/>
    <w:rsid w:val="006E623D"/>
    <w:rsid w:val="006E6FCD"/>
    <w:rsid w:val="006F1EE9"/>
    <w:rsid w:val="006F25DF"/>
    <w:rsid w:val="006F495B"/>
    <w:rsid w:val="006F523F"/>
    <w:rsid w:val="006F5979"/>
    <w:rsid w:val="006F6186"/>
    <w:rsid w:val="006F6685"/>
    <w:rsid w:val="006F6912"/>
    <w:rsid w:val="006F6A75"/>
    <w:rsid w:val="007052B8"/>
    <w:rsid w:val="007059AC"/>
    <w:rsid w:val="00706BBD"/>
    <w:rsid w:val="00706EAC"/>
    <w:rsid w:val="00707C13"/>
    <w:rsid w:val="007109D6"/>
    <w:rsid w:val="00710B1D"/>
    <w:rsid w:val="007116DD"/>
    <w:rsid w:val="00713E61"/>
    <w:rsid w:val="0071521A"/>
    <w:rsid w:val="007175AA"/>
    <w:rsid w:val="00717684"/>
    <w:rsid w:val="00720247"/>
    <w:rsid w:val="00720FDC"/>
    <w:rsid w:val="00721A78"/>
    <w:rsid w:val="007222C5"/>
    <w:rsid w:val="00722331"/>
    <w:rsid w:val="00724AB9"/>
    <w:rsid w:val="0072628E"/>
    <w:rsid w:val="007279FD"/>
    <w:rsid w:val="0073338F"/>
    <w:rsid w:val="007345D6"/>
    <w:rsid w:val="00734D3D"/>
    <w:rsid w:val="007353AF"/>
    <w:rsid w:val="00735DD3"/>
    <w:rsid w:val="00740187"/>
    <w:rsid w:val="0074100A"/>
    <w:rsid w:val="00741B55"/>
    <w:rsid w:val="00742857"/>
    <w:rsid w:val="007428C5"/>
    <w:rsid w:val="00743D67"/>
    <w:rsid w:val="00744674"/>
    <w:rsid w:val="00746811"/>
    <w:rsid w:val="0074771B"/>
    <w:rsid w:val="00751104"/>
    <w:rsid w:val="00751E4A"/>
    <w:rsid w:val="00752688"/>
    <w:rsid w:val="007529A6"/>
    <w:rsid w:val="00752DFE"/>
    <w:rsid w:val="00755513"/>
    <w:rsid w:val="00755A59"/>
    <w:rsid w:val="0075671D"/>
    <w:rsid w:val="00756A1C"/>
    <w:rsid w:val="00757212"/>
    <w:rsid w:val="00757892"/>
    <w:rsid w:val="007613D2"/>
    <w:rsid w:val="0076255E"/>
    <w:rsid w:val="007629AA"/>
    <w:rsid w:val="007649F4"/>
    <w:rsid w:val="00765456"/>
    <w:rsid w:val="00766429"/>
    <w:rsid w:val="00766BD1"/>
    <w:rsid w:val="00767272"/>
    <w:rsid w:val="00770085"/>
    <w:rsid w:val="00772223"/>
    <w:rsid w:val="00772854"/>
    <w:rsid w:val="0077452F"/>
    <w:rsid w:val="007748A1"/>
    <w:rsid w:val="00774ECA"/>
    <w:rsid w:val="00775C92"/>
    <w:rsid w:val="00776CB9"/>
    <w:rsid w:val="00776F2E"/>
    <w:rsid w:val="007771EC"/>
    <w:rsid w:val="00780D0A"/>
    <w:rsid w:val="007846FB"/>
    <w:rsid w:val="00786182"/>
    <w:rsid w:val="00792244"/>
    <w:rsid w:val="00792D2B"/>
    <w:rsid w:val="007932E9"/>
    <w:rsid w:val="00793706"/>
    <w:rsid w:val="00794671"/>
    <w:rsid w:val="00794E4A"/>
    <w:rsid w:val="00796E36"/>
    <w:rsid w:val="00796EEE"/>
    <w:rsid w:val="00797A14"/>
    <w:rsid w:val="007A2568"/>
    <w:rsid w:val="007A2BF4"/>
    <w:rsid w:val="007A3404"/>
    <w:rsid w:val="007A3852"/>
    <w:rsid w:val="007A4348"/>
    <w:rsid w:val="007A50E1"/>
    <w:rsid w:val="007A6B71"/>
    <w:rsid w:val="007A70EF"/>
    <w:rsid w:val="007B0475"/>
    <w:rsid w:val="007B05E7"/>
    <w:rsid w:val="007B2262"/>
    <w:rsid w:val="007B271F"/>
    <w:rsid w:val="007B2F4F"/>
    <w:rsid w:val="007B2FC5"/>
    <w:rsid w:val="007B41A2"/>
    <w:rsid w:val="007B5784"/>
    <w:rsid w:val="007B6B2B"/>
    <w:rsid w:val="007B70A2"/>
    <w:rsid w:val="007B76BC"/>
    <w:rsid w:val="007C3DB8"/>
    <w:rsid w:val="007C4725"/>
    <w:rsid w:val="007C4A32"/>
    <w:rsid w:val="007C52ED"/>
    <w:rsid w:val="007C6FBE"/>
    <w:rsid w:val="007D004E"/>
    <w:rsid w:val="007D1577"/>
    <w:rsid w:val="007D210B"/>
    <w:rsid w:val="007D36A3"/>
    <w:rsid w:val="007D54CE"/>
    <w:rsid w:val="007D6DE0"/>
    <w:rsid w:val="007D6F07"/>
    <w:rsid w:val="007E01B3"/>
    <w:rsid w:val="007E20F6"/>
    <w:rsid w:val="007E25EE"/>
    <w:rsid w:val="007E3C4B"/>
    <w:rsid w:val="007E6186"/>
    <w:rsid w:val="007E63F9"/>
    <w:rsid w:val="007E6B09"/>
    <w:rsid w:val="007E7426"/>
    <w:rsid w:val="007F0033"/>
    <w:rsid w:val="007F0668"/>
    <w:rsid w:val="007F120F"/>
    <w:rsid w:val="007F142F"/>
    <w:rsid w:val="007F2E78"/>
    <w:rsid w:val="007F4A92"/>
    <w:rsid w:val="007F6694"/>
    <w:rsid w:val="007F676E"/>
    <w:rsid w:val="007F6A94"/>
    <w:rsid w:val="00801C8A"/>
    <w:rsid w:val="00802E0C"/>
    <w:rsid w:val="0080373B"/>
    <w:rsid w:val="008070B2"/>
    <w:rsid w:val="008107E4"/>
    <w:rsid w:val="00810EE9"/>
    <w:rsid w:val="008111AD"/>
    <w:rsid w:val="00811310"/>
    <w:rsid w:val="0081169A"/>
    <w:rsid w:val="0081262E"/>
    <w:rsid w:val="00812ADD"/>
    <w:rsid w:val="00812BD4"/>
    <w:rsid w:val="00812CB5"/>
    <w:rsid w:val="00812EF9"/>
    <w:rsid w:val="0081477A"/>
    <w:rsid w:val="008148C9"/>
    <w:rsid w:val="00815CA3"/>
    <w:rsid w:val="00815E7B"/>
    <w:rsid w:val="00816151"/>
    <w:rsid w:val="008172DB"/>
    <w:rsid w:val="00820BF2"/>
    <w:rsid w:val="00824388"/>
    <w:rsid w:val="00824B3D"/>
    <w:rsid w:val="00825135"/>
    <w:rsid w:val="00825412"/>
    <w:rsid w:val="00825DB4"/>
    <w:rsid w:val="00830F47"/>
    <w:rsid w:val="008314BE"/>
    <w:rsid w:val="00831721"/>
    <w:rsid w:val="0083183D"/>
    <w:rsid w:val="0083190E"/>
    <w:rsid w:val="008328D2"/>
    <w:rsid w:val="00832BB0"/>
    <w:rsid w:val="00835183"/>
    <w:rsid w:val="008360F6"/>
    <w:rsid w:val="00836180"/>
    <w:rsid w:val="0083633E"/>
    <w:rsid w:val="00837A2D"/>
    <w:rsid w:val="0084038F"/>
    <w:rsid w:val="00840850"/>
    <w:rsid w:val="00840F66"/>
    <w:rsid w:val="00841E31"/>
    <w:rsid w:val="008433B8"/>
    <w:rsid w:val="0084387F"/>
    <w:rsid w:val="00843B2C"/>
    <w:rsid w:val="00844E7B"/>
    <w:rsid w:val="00844EC7"/>
    <w:rsid w:val="008451F5"/>
    <w:rsid w:val="00845538"/>
    <w:rsid w:val="00850174"/>
    <w:rsid w:val="00850C0D"/>
    <w:rsid w:val="00851EC2"/>
    <w:rsid w:val="00852AF4"/>
    <w:rsid w:val="00852EA0"/>
    <w:rsid w:val="00854EA7"/>
    <w:rsid w:val="00855B0C"/>
    <w:rsid w:val="0085626F"/>
    <w:rsid w:val="008566EC"/>
    <w:rsid w:val="00856BC9"/>
    <w:rsid w:val="00857611"/>
    <w:rsid w:val="00861060"/>
    <w:rsid w:val="0086137B"/>
    <w:rsid w:val="008623F2"/>
    <w:rsid w:val="00862CD4"/>
    <w:rsid w:val="008635AD"/>
    <w:rsid w:val="00867929"/>
    <w:rsid w:val="0087018F"/>
    <w:rsid w:val="0087230A"/>
    <w:rsid w:val="00872C41"/>
    <w:rsid w:val="00874018"/>
    <w:rsid w:val="00874025"/>
    <w:rsid w:val="0087477A"/>
    <w:rsid w:val="00874E82"/>
    <w:rsid w:val="00880D79"/>
    <w:rsid w:val="00881529"/>
    <w:rsid w:val="00891A1E"/>
    <w:rsid w:val="00893D82"/>
    <w:rsid w:val="00894648"/>
    <w:rsid w:val="008949F6"/>
    <w:rsid w:val="00894CA3"/>
    <w:rsid w:val="00896B80"/>
    <w:rsid w:val="00896ECA"/>
    <w:rsid w:val="00897621"/>
    <w:rsid w:val="008A2E6D"/>
    <w:rsid w:val="008A2EFC"/>
    <w:rsid w:val="008A3E7C"/>
    <w:rsid w:val="008A4E01"/>
    <w:rsid w:val="008A5991"/>
    <w:rsid w:val="008A64FF"/>
    <w:rsid w:val="008B119F"/>
    <w:rsid w:val="008B28A6"/>
    <w:rsid w:val="008B38FF"/>
    <w:rsid w:val="008B486D"/>
    <w:rsid w:val="008B4ADB"/>
    <w:rsid w:val="008B5B0C"/>
    <w:rsid w:val="008B6956"/>
    <w:rsid w:val="008B71CA"/>
    <w:rsid w:val="008C2071"/>
    <w:rsid w:val="008C7F5E"/>
    <w:rsid w:val="008D0DC5"/>
    <w:rsid w:val="008D1439"/>
    <w:rsid w:val="008D153A"/>
    <w:rsid w:val="008D2259"/>
    <w:rsid w:val="008D3C3A"/>
    <w:rsid w:val="008D3E92"/>
    <w:rsid w:val="008D47F6"/>
    <w:rsid w:val="008D4861"/>
    <w:rsid w:val="008D5730"/>
    <w:rsid w:val="008D6A62"/>
    <w:rsid w:val="008D745E"/>
    <w:rsid w:val="008D7936"/>
    <w:rsid w:val="008E146C"/>
    <w:rsid w:val="008E25AF"/>
    <w:rsid w:val="008E3BB2"/>
    <w:rsid w:val="008E4496"/>
    <w:rsid w:val="008E493B"/>
    <w:rsid w:val="008E7066"/>
    <w:rsid w:val="008E728A"/>
    <w:rsid w:val="008E769F"/>
    <w:rsid w:val="008F0D75"/>
    <w:rsid w:val="008F107C"/>
    <w:rsid w:val="008F2EE6"/>
    <w:rsid w:val="008F3C8D"/>
    <w:rsid w:val="008F49DF"/>
    <w:rsid w:val="008F54DC"/>
    <w:rsid w:val="008F672D"/>
    <w:rsid w:val="008F6815"/>
    <w:rsid w:val="008F72F2"/>
    <w:rsid w:val="009004E7"/>
    <w:rsid w:val="0090063F"/>
    <w:rsid w:val="009014AC"/>
    <w:rsid w:val="00901939"/>
    <w:rsid w:val="009019FE"/>
    <w:rsid w:val="00902520"/>
    <w:rsid w:val="00902A30"/>
    <w:rsid w:val="00902B35"/>
    <w:rsid w:val="00903A25"/>
    <w:rsid w:val="00904400"/>
    <w:rsid w:val="00905863"/>
    <w:rsid w:val="009063F9"/>
    <w:rsid w:val="009067AE"/>
    <w:rsid w:val="009072C2"/>
    <w:rsid w:val="009118F1"/>
    <w:rsid w:val="00911B3B"/>
    <w:rsid w:val="00912973"/>
    <w:rsid w:val="00915BDB"/>
    <w:rsid w:val="009160C7"/>
    <w:rsid w:val="0091752D"/>
    <w:rsid w:val="009176F0"/>
    <w:rsid w:val="00917794"/>
    <w:rsid w:val="00917DD2"/>
    <w:rsid w:val="0092075D"/>
    <w:rsid w:val="00920B8D"/>
    <w:rsid w:val="00921BE1"/>
    <w:rsid w:val="00922134"/>
    <w:rsid w:val="00922DD8"/>
    <w:rsid w:val="00923ECB"/>
    <w:rsid w:val="0092687A"/>
    <w:rsid w:val="00926C4D"/>
    <w:rsid w:val="009272AB"/>
    <w:rsid w:val="00927A9F"/>
    <w:rsid w:val="009312C9"/>
    <w:rsid w:val="00931FA9"/>
    <w:rsid w:val="00932419"/>
    <w:rsid w:val="0093280A"/>
    <w:rsid w:val="009337FD"/>
    <w:rsid w:val="009338DB"/>
    <w:rsid w:val="00934903"/>
    <w:rsid w:val="00934BCC"/>
    <w:rsid w:val="0093518A"/>
    <w:rsid w:val="00936409"/>
    <w:rsid w:val="009410B6"/>
    <w:rsid w:val="00941112"/>
    <w:rsid w:val="00944699"/>
    <w:rsid w:val="00944B28"/>
    <w:rsid w:val="00950D58"/>
    <w:rsid w:val="00951017"/>
    <w:rsid w:val="00951266"/>
    <w:rsid w:val="00951C8A"/>
    <w:rsid w:val="00956993"/>
    <w:rsid w:val="00957832"/>
    <w:rsid w:val="009605E2"/>
    <w:rsid w:val="00961178"/>
    <w:rsid w:val="009618C0"/>
    <w:rsid w:val="00964376"/>
    <w:rsid w:val="00964D58"/>
    <w:rsid w:val="00966809"/>
    <w:rsid w:val="009668C9"/>
    <w:rsid w:val="00970A66"/>
    <w:rsid w:val="00971687"/>
    <w:rsid w:val="00972128"/>
    <w:rsid w:val="009730FA"/>
    <w:rsid w:val="009732CE"/>
    <w:rsid w:val="00974D7E"/>
    <w:rsid w:val="00975AD1"/>
    <w:rsid w:val="00975C99"/>
    <w:rsid w:val="00975FA4"/>
    <w:rsid w:val="00976056"/>
    <w:rsid w:val="0097659F"/>
    <w:rsid w:val="00977130"/>
    <w:rsid w:val="0097767F"/>
    <w:rsid w:val="00977F19"/>
    <w:rsid w:val="0098065E"/>
    <w:rsid w:val="00982DD8"/>
    <w:rsid w:val="00983097"/>
    <w:rsid w:val="00983A3B"/>
    <w:rsid w:val="00985918"/>
    <w:rsid w:val="00986FCF"/>
    <w:rsid w:val="00993712"/>
    <w:rsid w:val="0099550D"/>
    <w:rsid w:val="009956A0"/>
    <w:rsid w:val="00995ACC"/>
    <w:rsid w:val="009962E2"/>
    <w:rsid w:val="009970AB"/>
    <w:rsid w:val="00997698"/>
    <w:rsid w:val="00997DCC"/>
    <w:rsid w:val="009A1732"/>
    <w:rsid w:val="009A2B32"/>
    <w:rsid w:val="009A32C5"/>
    <w:rsid w:val="009A5FF4"/>
    <w:rsid w:val="009A62C5"/>
    <w:rsid w:val="009A673B"/>
    <w:rsid w:val="009A72E2"/>
    <w:rsid w:val="009B076F"/>
    <w:rsid w:val="009B1259"/>
    <w:rsid w:val="009B12BB"/>
    <w:rsid w:val="009B2D93"/>
    <w:rsid w:val="009B4444"/>
    <w:rsid w:val="009B5222"/>
    <w:rsid w:val="009B543B"/>
    <w:rsid w:val="009B5707"/>
    <w:rsid w:val="009B5940"/>
    <w:rsid w:val="009B6509"/>
    <w:rsid w:val="009B75F6"/>
    <w:rsid w:val="009C1A0C"/>
    <w:rsid w:val="009C2B4D"/>
    <w:rsid w:val="009C3FD0"/>
    <w:rsid w:val="009C4EC7"/>
    <w:rsid w:val="009C611C"/>
    <w:rsid w:val="009C6263"/>
    <w:rsid w:val="009D2F3B"/>
    <w:rsid w:val="009D3297"/>
    <w:rsid w:val="009D37D1"/>
    <w:rsid w:val="009D4522"/>
    <w:rsid w:val="009D5538"/>
    <w:rsid w:val="009D6445"/>
    <w:rsid w:val="009D69A4"/>
    <w:rsid w:val="009D7183"/>
    <w:rsid w:val="009D7497"/>
    <w:rsid w:val="009D7BDF"/>
    <w:rsid w:val="009D7C6F"/>
    <w:rsid w:val="009D7E99"/>
    <w:rsid w:val="009D7F0E"/>
    <w:rsid w:val="009E0627"/>
    <w:rsid w:val="009E142B"/>
    <w:rsid w:val="009E1B49"/>
    <w:rsid w:val="009E2665"/>
    <w:rsid w:val="009E3442"/>
    <w:rsid w:val="009E4736"/>
    <w:rsid w:val="009E661A"/>
    <w:rsid w:val="009E677B"/>
    <w:rsid w:val="009E76CE"/>
    <w:rsid w:val="009F00B7"/>
    <w:rsid w:val="009F021B"/>
    <w:rsid w:val="009F0841"/>
    <w:rsid w:val="009F163C"/>
    <w:rsid w:val="009F24EE"/>
    <w:rsid w:val="009F4C25"/>
    <w:rsid w:val="009F5578"/>
    <w:rsid w:val="009F7348"/>
    <w:rsid w:val="009F7BBE"/>
    <w:rsid w:val="009F7D8E"/>
    <w:rsid w:val="00A00C19"/>
    <w:rsid w:val="00A0183F"/>
    <w:rsid w:val="00A01D18"/>
    <w:rsid w:val="00A042B3"/>
    <w:rsid w:val="00A05579"/>
    <w:rsid w:val="00A067D9"/>
    <w:rsid w:val="00A0720D"/>
    <w:rsid w:val="00A0766D"/>
    <w:rsid w:val="00A07F45"/>
    <w:rsid w:val="00A1014C"/>
    <w:rsid w:val="00A10690"/>
    <w:rsid w:val="00A11C51"/>
    <w:rsid w:val="00A11EEC"/>
    <w:rsid w:val="00A1261C"/>
    <w:rsid w:val="00A127F3"/>
    <w:rsid w:val="00A12CFB"/>
    <w:rsid w:val="00A12F15"/>
    <w:rsid w:val="00A131D4"/>
    <w:rsid w:val="00A163C2"/>
    <w:rsid w:val="00A1656D"/>
    <w:rsid w:val="00A16E10"/>
    <w:rsid w:val="00A17C50"/>
    <w:rsid w:val="00A17FD1"/>
    <w:rsid w:val="00A20CA0"/>
    <w:rsid w:val="00A20F7A"/>
    <w:rsid w:val="00A21589"/>
    <w:rsid w:val="00A221A7"/>
    <w:rsid w:val="00A222C1"/>
    <w:rsid w:val="00A23287"/>
    <w:rsid w:val="00A23C93"/>
    <w:rsid w:val="00A24DAA"/>
    <w:rsid w:val="00A25794"/>
    <w:rsid w:val="00A279D4"/>
    <w:rsid w:val="00A27B32"/>
    <w:rsid w:val="00A27E11"/>
    <w:rsid w:val="00A3016D"/>
    <w:rsid w:val="00A30F23"/>
    <w:rsid w:val="00A35EE2"/>
    <w:rsid w:val="00A36418"/>
    <w:rsid w:val="00A37253"/>
    <w:rsid w:val="00A40B6C"/>
    <w:rsid w:val="00A40D09"/>
    <w:rsid w:val="00A428B4"/>
    <w:rsid w:val="00A43596"/>
    <w:rsid w:val="00A44D80"/>
    <w:rsid w:val="00A45C39"/>
    <w:rsid w:val="00A45F1C"/>
    <w:rsid w:val="00A46119"/>
    <w:rsid w:val="00A4744C"/>
    <w:rsid w:val="00A47B28"/>
    <w:rsid w:val="00A500B8"/>
    <w:rsid w:val="00A50BBA"/>
    <w:rsid w:val="00A50F92"/>
    <w:rsid w:val="00A516EB"/>
    <w:rsid w:val="00A52816"/>
    <w:rsid w:val="00A5422F"/>
    <w:rsid w:val="00A558FC"/>
    <w:rsid w:val="00A559C5"/>
    <w:rsid w:val="00A604F5"/>
    <w:rsid w:val="00A61662"/>
    <w:rsid w:val="00A61A7A"/>
    <w:rsid w:val="00A62977"/>
    <w:rsid w:val="00A6458C"/>
    <w:rsid w:val="00A650FF"/>
    <w:rsid w:val="00A668E8"/>
    <w:rsid w:val="00A67C7F"/>
    <w:rsid w:val="00A70235"/>
    <w:rsid w:val="00A702C7"/>
    <w:rsid w:val="00A70BDD"/>
    <w:rsid w:val="00A70F99"/>
    <w:rsid w:val="00A710D6"/>
    <w:rsid w:val="00A7392C"/>
    <w:rsid w:val="00A73C32"/>
    <w:rsid w:val="00A75D3B"/>
    <w:rsid w:val="00A8220F"/>
    <w:rsid w:val="00A834FB"/>
    <w:rsid w:val="00A83A38"/>
    <w:rsid w:val="00A83C1B"/>
    <w:rsid w:val="00A843D9"/>
    <w:rsid w:val="00A87ED1"/>
    <w:rsid w:val="00A90E35"/>
    <w:rsid w:val="00A929AF"/>
    <w:rsid w:val="00A94AFA"/>
    <w:rsid w:val="00A965B3"/>
    <w:rsid w:val="00A96E21"/>
    <w:rsid w:val="00A9779D"/>
    <w:rsid w:val="00AA00C6"/>
    <w:rsid w:val="00AA09BE"/>
    <w:rsid w:val="00AA1F6E"/>
    <w:rsid w:val="00AA2DE4"/>
    <w:rsid w:val="00AA401C"/>
    <w:rsid w:val="00AA4877"/>
    <w:rsid w:val="00AA77C3"/>
    <w:rsid w:val="00AB15B0"/>
    <w:rsid w:val="00AB253B"/>
    <w:rsid w:val="00AB27B0"/>
    <w:rsid w:val="00AB2933"/>
    <w:rsid w:val="00AB2E79"/>
    <w:rsid w:val="00AB5CCC"/>
    <w:rsid w:val="00AB7745"/>
    <w:rsid w:val="00AC11FD"/>
    <w:rsid w:val="00AC22BB"/>
    <w:rsid w:val="00AC32FB"/>
    <w:rsid w:val="00AC4E08"/>
    <w:rsid w:val="00AC5D71"/>
    <w:rsid w:val="00AC698A"/>
    <w:rsid w:val="00AC6A1C"/>
    <w:rsid w:val="00AC6AB0"/>
    <w:rsid w:val="00AC7AF3"/>
    <w:rsid w:val="00AD0059"/>
    <w:rsid w:val="00AD0F85"/>
    <w:rsid w:val="00AD0FB6"/>
    <w:rsid w:val="00AD1ED1"/>
    <w:rsid w:val="00AD2974"/>
    <w:rsid w:val="00AD2AF3"/>
    <w:rsid w:val="00AD3739"/>
    <w:rsid w:val="00AD435D"/>
    <w:rsid w:val="00AD457B"/>
    <w:rsid w:val="00AD5955"/>
    <w:rsid w:val="00AD62B3"/>
    <w:rsid w:val="00AD66D4"/>
    <w:rsid w:val="00AD76F3"/>
    <w:rsid w:val="00AE1FDF"/>
    <w:rsid w:val="00AE2263"/>
    <w:rsid w:val="00AE3668"/>
    <w:rsid w:val="00AE46B9"/>
    <w:rsid w:val="00AE7348"/>
    <w:rsid w:val="00AE736C"/>
    <w:rsid w:val="00AF03E6"/>
    <w:rsid w:val="00AF17B7"/>
    <w:rsid w:val="00AF1A01"/>
    <w:rsid w:val="00AF2BF2"/>
    <w:rsid w:val="00AF37F6"/>
    <w:rsid w:val="00AF45DD"/>
    <w:rsid w:val="00AF49EB"/>
    <w:rsid w:val="00AF7584"/>
    <w:rsid w:val="00AF78BC"/>
    <w:rsid w:val="00B001A9"/>
    <w:rsid w:val="00B00B0B"/>
    <w:rsid w:val="00B0239A"/>
    <w:rsid w:val="00B02A53"/>
    <w:rsid w:val="00B0343C"/>
    <w:rsid w:val="00B03EAA"/>
    <w:rsid w:val="00B050C7"/>
    <w:rsid w:val="00B0555D"/>
    <w:rsid w:val="00B0600B"/>
    <w:rsid w:val="00B07FCE"/>
    <w:rsid w:val="00B1123B"/>
    <w:rsid w:val="00B115EC"/>
    <w:rsid w:val="00B12B4D"/>
    <w:rsid w:val="00B144F6"/>
    <w:rsid w:val="00B17447"/>
    <w:rsid w:val="00B200C6"/>
    <w:rsid w:val="00B2034D"/>
    <w:rsid w:val="00B22C0E"/>
    <w:rsid w:val="00B23BD2"/>
    <w:rsid w:val="00B240D4"/>
    <w:rsid w:val="00B255E1"/>
    <w:rsid w:val="00B262AC"/>
    <w:rsid w:val="00B27680"/>
    <w:rsid w:val="00B309AB"/>
    <w:rsid w:val="00B310B3"/>
    <w:rsid w:val="00B338F7"/>
    <w:rsid w:val="00B34882"/>
    <w:rsid w:val="00B34F20"/>
    <w:rsid w:val="00B35185"/>
    <w:rsid w:val="00B365FE"/>
    <w:rsid w:val="00B403B0"/>
    <w:rsid w:val="00B40426"/>
    <w:rsid w:val="00B417ED"/>
    <w:rsid w:val="00B43FA7"/>
    <w:rsid w:val="00B46279"/>
    <w:rsid w:val="00B46A0E"/>
    <w:rsid w:val="00B4739B"/>
    <w:rsid w:val="00B47582"/>
    <w:rsid w:val="00B478F7"/>
    <w:rsid w:val="00B5116B"/>
    <w:rsid w:val="00B511F7"/>
    <w:rsid w:val="00B511F9"/>
    <w:rsid w:val="00B53C03"/>
    <w:rsid w:val="00B550D0"/>
    <w:rsid w:val="00B56B37"/>
    <w:rsid w:val="00B57E24"/>
    <w:rsid w:val="00B60280"/>
    <w:rsid w:val="00B61A3C"/>
    <w:rsid w:val="00B628E6"/>
    <w:rsid w:val="00B63122"/>
    <w:rsid w:val="00B65DD7"/>
    <w:rsid w:val="00B661EB"/>
    <w:rsid w:val="00B66425"/>
    <w:rsid w:val="00B669EA"/>
    <w:rsid w:val="00B717E3"/>
    <w:rsid w:val="00B71A5F"/>
    <w:rsid w:val="00B71C92"/>
    <w:rsid w:val="00B71FB9"/>
    <w:rsid w:val="00B73176"/>
    <w:rsid w:val="00B73CF6"/>
    <w:rsid w:val="00B74CAA"/>
    <w:rsid w:val="00B75124"/>
    <w:rsid w:val="00B77A07"/>
    <w:rsid w:val="00B82BD6"/>
    <w:rsid w:val="00B83723"/>
    <w:rsid w:val="00B843D1"/>
    <w:rsid w:val="00B84927"/>
    <w:rsid w:val="00B850BC"/>
    <w:rsid w:val="00B85ED8"/>
    <w:rsid w:val="00B85F7E"/>
    <w:rsid w:val="00B9072D"/>
    <w:rsid w:val="00B9145B"/>
    <w:rsid w:val="00B921E2"/>
    <w:rsid w:val="00B9390A"/>
    <w:rsid w:val="00B94008"/>
    <w:rsid w:val="00B9406C"/>
    <w:rsid w:val="00B954CE"/>
    <w:rsid w:val="00B95EE6"/>
    <w:rsid w:val="00B969E3"/>
    <w:rsid w:val="00B97836"/>
    <w:rsid w:val="00B97C8D"/>
    <w:rsid w:val="00BA1DF3"/>
    <w:rsid w:val="00BA3BED"/>
    <w:rsid w:val="00BA3C59"/>
    <w:rsid w:val="00BA4217"/>
    <w:rsid w:val="00BA4A64"/>
    <w:rsid w:val="00BA5F2C"/>
    <w:rsid w:val="00BA7296"/>
    <w:rsid w:val="00BA781E"/>
    <w:rsid w:val="00BA7E62"/>
    <w:rsid w:val="00BB076F"/>
    <w:rsid w:val="00BB1867"/>
    <w:rsid w:val="00BB1E0A"/>
    <w:rsid w:val="00BB1FDA"/>
    <w:rsid w:val="00BB6AF3"/>
    <w:rsid w:val="00BB6E9C"/>
    <w:rsid w:val="00BB75A6"/>
    <w:rsid w:val="00BB784F"/>
    <w:rsid w:val="00BC15ED"/>
    <w:rsid w:val="00BC234E"/>
    <w:rsid w:val="00BC2857"/>
    <w:rsid w:val="00BC302A"/>
    <w:rsid w:val="00BC33A3"/>
    <w:rsid w:val="00BC396B"/>
    <w:rsid w:val="00BC7DB6"/>
    <w:rsid w:val="00BD039F"/>
    <w:rsid w:val="00BD0782"/>
    <w:rsid w:val="00BD0D0A"/>
    <w:rsid w:val="00BD10B9"/>
    <w:rsid w:val="00BD14A9"/>
    <w:rsid w:val="00BD1B84"/>
    <w:rsid w:val="00BD44AE"/>
    <w:rsid w:val="00BD5FB0"/>
    <w:rsid w:val="00BD62E7"/>
    <w:rsid w:val="00BD6540"/>
    <w:rsid w:val="00BD68D4"/>
    <w:rsid w:val="00BD6BB9"/>
    <w:rsid w:val="00BD6CA3"/>
    <w:rsid w:val="00BD7778"/>
    <w:rsid w:val="00BE07C9"/>
    <w:rsid w:val="00BE115B"/>
    <w:rsid w:val="00BE1B40"/>
    <w:rsid w:val="00BE20A4"/>
    <w:rsid w:val="00BE227F"/>
    <w:rsid w:val="00BE44E3"/>
    <w:rsid w:val="00BE600B"/>
    <w:rsid w:val="00BE6F85"/>
    <w:rsid w:val="00BE734F"/>
    <w:rsid w:val="00BE77B0"/>
    <w:rsid w:val="00BF0BE5"/>
    <w:rsid w:val="00BF0F01"/>
    <w:rsid w:val="00BF10EF"/>
    <w:rsid w:val="00BF1A1F"/>
    <w:rsid w:val="00BF570F"/>
    <w:rsid w:val="00BF5DF2"/>
    <w:rsid w:val="00BF6CC9"/>
    <w:rsid w:val="00C01BD2"/>
    <w:rsid w:val="00C01F3C"/>
    <w:rsid w:val="00C02B58"/>
    <w:rsid w:val="00C03778"/>
    <w:rsid w:val="00C0408F"/>
    <w:rsid w:val="00C041C2"/>
    <w:rsid w:val="00C0491D"/>
    <w:rsid w:val="00C05DA7"/>
    <w:rsid w:val="00C062F3"/>
    <w:rsid w:val="00C06E7D"/>
    <w:rsid w:val="00C07837"/>
    <w:rsid w:val="00C07884"/>
    <w:rsid w:val="00C100E4"/>
    <w:rsid w:val="00C10904"/>
    <w:rsid w:val="00C10FA6"/>
    <w:rsid w:val="00C12C06"/>
    <w:rsid w:val="00C13B00"/>
    <w:rsid w:val="00C14827"/>
    <w:rsid w:val="00C14F1C"/>
    <w:rsid w:val="00C15052"/>
    <w:rsid w:val="00C158E5"/>
    <w:rsid w:val="00C168FF"/>
    <w:rsid w:val="00C1738F"/>
    <w:rsid w:val="00C224A8"/>
    <w:rsid w:val="00C2294A"/>
    <w:rsid w:val="00C22CCF"/>
    <w:rsid w:val="00C254CB"/>
    <w:rsid w:val="00C255EA"/>
    <w:rsid w:val="00C26397"/>
    <w:rsid w:val="00C275D6"/>
    <w:rsid w:val="00C30843"/>
    <w:rsid w:val="00C31269"/>
    <w:rsid w:val="00C33CE2"/>
    <w:rsid w:val="00C342C2"/>
    <w:rsid w:val="00C36AFD"/>
    <w:rsid w:val="00C36F11"/>
    <w:rsid w:val="00C37006"/>
    <w:rsid w:val="00C3718A"/>
    <w:rsid w:val="00C3727E"/>
    <w:rsid w:val="00C400D5"/>
    <w:rsid w:val="00C417EA"/>
    <w:rsid w:val="00C41EB2"/>
    <w:rsid w:val="00C438BD"/>
    <w:rsid w:val="00C444E6"/>
    <w:rsid w:val="00C50AC9"/>
    <w:rsid w:val="00C5176F"/>
    <w:rsid w:val="00C55E8A"/>
    <w:rsid w:val="00C57839"/>
    <w:rsid w:val="00C60577"/>
    <w:rsid w:val="00C6107F"/>
    <w:rsid w:val="00C626BB"/>
    <w:rsid w:val="00C643F4"/>
    <w:rsid w:val="00C65B19"/>
    <w:rsid w:val="00C71811"/>
    <w:rsid w:val="00C73A7A"/>
    <w:rsid w:val="00C755BE"/>
    <w:rsid w:val="00C770B6"/>
    <w:rsid w:val="00C77B7F"/>
    <w:rsid w:val="00C77CF1"/>
    <w:rsid w:val="00C80E75"/>
    <w:rsid w:val="00C818EB"/>
    <w:rsid w:val="00C81ECD"/>
    <w:rsid w:val="00C82E1A"/>
    <w:rsid w:val="00C83E5D"/>
    <w:rsid w:val="00C84771"/>
    <w:rsid w:val="00C86EB9"/>
    <w:rsid w:val="00C878EE"/>
    <w:rsid w:val="00C87C1A"/>
    <w:rsid w:val="00C90CE4"/>
    <w:rsid w:val="00C91032"/>
    <w:rsid w:val="00C91A7C"/>
    <w:rsid w:val="00C925E7"/>
    <w:rsid w:val="00C929BE"/>
    <w:rsid w:val="00C92B92"/>
    <w:rsid w:val="00C92C0D"/>
    <w:rsid w:val="00C9448D"/>
    <w:rsid w:val="00C94ACD"/>
    <w:rsid w:val="00C94E69"/>
    <w:rsid w:val="00C96CA3"/>
    <w:rsid w:val="00C97677"/>
    <w:rsid w:val="00C97F2B"/>
    <w:rsid w:val="00CA2422"/>
    <w:rsid w:val="00CA41AA"/>
    <w:rsid w:val="00CA5508"/>
    <w:rsid w:val="00CA5A09"/>
    <w:rsid w:val="00CA5C60"/>
    <w:rsid w:val="00CB11D9"/>
    <w:rsid w:val="00CB18B4"/>
    <w:rsid w:val="00CB29D6"/>
    <w:rsid w:val="00CB2FF5"/>
    <w:rsid w:val="00CB4057"/>
    <w:rsid w:val="00CC1692"/>
    <w:rsid w:val="00CC39BC"/>
    <w:rsid w:val="00CC3B47"/>
    <w:rsid w:val="00CC4028"/>
    <w:rsid w:val="00CC4C82"/>
    <w:rsid w:val="00CC6244"/>
    <w:rsid w:val="00CC6419"/>
    <w:rsid w:val="00CC6D18"/>
    <w:rsid w:val="00CC6F50"/>
    <w:rsid w:val="00CC7931"/>
    <w:rsid w:val="00CD083C"/>
    <w:rsid w:val="00CD20BF"/>
    <w:rsid w:val="00CD2649"/>
    <w:rsid w:val="00CD2EDF"/>
    <w:rsid w:val="00CD3029"/>
    <w:rsid w:val="00CD3579"/>
    <w:rsid w:val="00CD41D0"/>
    <w:rsid w:val="00CD47A2"/>
    <w:rsid w:val="00CD49DB"/>
    <w:rsid w:val="00CD5228"/>
    <w:rsid w:val="00CD7E2A"/>
    <w:rsid w:val="00CE002E"/>
    <w:rsid w:val="00CE1D11"/>
    <w:rsid w:val="00CE2352"/>
    <w:rsid w:val="00CE3705"/>
    <w:rsid w:val="00CE44D7"/>
    <w:rsid w:val="00CE4A97"/>
    <w:rsid w:val="00CE74D7"/>
    <w:rsid w:val="00CE771F"/>
    <w:rsid w:val="00CF0694"/>
    <w:rsid w:val="00CF0C21"/>
    <w:rsid w:val="00CF2DFB"/>
    <w:rsid w:val="00CF39C1"/>
    <w:rsid w:val="00CF4130"/>
    <w:rsid w:val="00CF6533"/>
    <w:rsid w:val="00CF6F4A"/>
    <w:rsid w:val="00D02268"/>
    <w:rsid w:val="00D022FE"/>
    <w:rsid w:val="00D03A10"/>
    <w:rsid w:val="00D05655"/>
    <w:rsid w:val="00D059B7"/>
    <w:rsid w:val="00D06166"/>
    <w:rsid w:val="00D10BAA"/>
    <w:rsid w:val="00D11BC5"/>
    <w:rsid w:val="00D11CCD"/>
    <w:rsid w:val="00D138E5"/>
    <w:rsid w:val="00D1428B"/>
    <w:rsid w:val="00D16900"/>
    <w:rsid w:val="00D20EF4"/>
    <w:rsid w:val="00D20F0D"/>
    <w:rsid w:val="00D2120A"/>
    <w:rsid w:val="00D22571"/>
    <w:rsid w:val="00D22845"/>
    <w:rsid w:val="00D23F2D"/>
    <w:rsid w:val="00D305C6"/>
    <w:rsid w:val="00D30EA9"/>
    <w:rsid w:val="00D31F27"/>
    <w:rsid w:val="00D34BD9"/>
    <w:rsid w:val="00D3513C"/>
    <w:rsid w:val="00D355DD"/>
    <w:rsid w:val="00D35C10"/>
    <w:rsid w:val="00D371E0"/>
    <w:rsid w:val="00D404E0"/>
    <w:rsid w:val="00D40585"/>
    <w:rsid w:val="00D41604"/>
    <w:rsid w:val="00D41EDD"/>
    <w:rsid w:val="00D45226"/>
    <w:rsid w:val="00D45CC0"/>
    <w:rsid w:val="00D46025"/>
    <w:rsid w:val="00D46A0C"/>
    <w:rsid w:val="00D47837"/>
    <w:rsid w:val="00D506A7"/>
    <w:rsid w:val="00D50963"/>
    <w:rsid w:val="00D528A9"/>
    <w:rsid w:val="00D52E5F"/>
    <w:rsid w:val="00D52E6D"/>
    <w:rsid w:val="00D54B00"/>
    <w:rsid w:val="00D551E1"/>
    <w:rsid w:val="00D60951"/>
    <w:rsid w:val="00D60AA2"/>
    <w:rsid w:val="00D60ADE"/>
    <w:rsid w:val="00D61B74"/>
    <w:rsid w:val="00D62D43"/>
    <w:rsid w:val="00D663EF"/>
    <w:rsid w:val="00D66789"/>
    <w:rsid w:val="00D6729A"/>
    <w:rsid w:val="00D674E5"/>
    <w:rsid w:val="00D675F6"/>
    <w:rsid w:val="00D70554"/>
    <w:rsid w:val="00D70A8A"/>
    <w:rsid w:val="00D713AC"/>
    <w:rsid w:val="00D74796"/>
    <w:rsid w:val="00D752ED"/>
    <w:rsid w:val="00D76DD9"/>
    <w:rsid w:val="00D820AD"/>
    <w:rsid w:val="00D820E5"/>
    <w:rsid w:val="00D824B6"/>
    <w:rsid w:val="00D82F84"/>
    <w:rsid w:val="00D84C3C"/>
    <w:rsid w:val="00D8708B"/>
    <w:rsid w:val="00D877F2"/>
    <w:rsid w:val="00D878B9"/>
    <w:rsid w:val="00D90329"/>
    <w:rsid w:val="00D9156B"/>
    <w:rsid w:val="00D9166A"/>
    <w:rsid w:val="00D94664"/>
    <w:rsid w:val="00D953E6"/>
    <w:rsid w:val="00D96759"/>
    <w:rsid w:val="00D96DBA"/>
    <w:rsid w:val="00D97319"/>
    <w:rsid w:val="00DA21B6"/>
    <w:rsid w:val="00DA236B"/>
    <w:rsid w:val="00DA2AC0"/>
    <w:rsid w:val="00DA38FC"/>
    <w:rsid w:val="00DA6935"/>
    <w:rsid w:val="00DA7EC5"/>
    <w:rsid w:val="00DB0E81"/>
    <w:rsid w:val="00DB24B5"/>
    <w:rsid w:val="00DB24B6"/>
    <w:rsid w:val="00DB2A6D"/>
    <w:rsid w:val="00DB4621"/>
    <w:rsid w:val="00DB48ED"/>
    <w:rsid w:val="00DB4AF3"/>
    <w:rsid w:val="00DB564C"/>
    <w:rsid w:val="00DB785A"/>
    <w:rsid w:val="00DB78E0"/>
    <w:rsid w:val="00DC0089"/>
    <w:rsid w:val="00DC06E2"/>
    <w:rsid w:val="00DC1577"/>
    <w:rsid w:val="00DC4C0E"/>
    <w:rsid w:val="00DC53B0"/>
    <w:rsid w:val="00DC61EE"/>
    <w:rsid w:val="00DC656E"/>
    <w:rsid w:val="00DD1C1F"/>
    <w:rsid w:val="00DD273C"/>
    <w:rsid w:val="00DD2B1B"/>
    <w:rsid w:val="00DD2CFF"/>
    <w:rsid w:val="00DD45A9"/>
    <w:rsid w:val="00DD5187"/>
    <w:rsid w:val="00DD5C2E"/>
    <w:rsid w:val="00DD6092"/>
    <w:rsid w:val="00DE017A"/>
    <w:rsid w:val="00DE0939"/>
    <w:rsid w:val="00DE0A44"/>
    <w:rsid w:val="00DE220D"/>
    <w:rsid w:val="00DE2C3E"/>
    <w:rsid w:val="00DE3210"/>
    <w:rsid w:val="00DE7A1F"/>
    <w:rsid w:val="00DF069E"/>
    <w:rsid w:val="00DF0BA6"/>
    <w:rsid w:val="00DF493D"/>
    <w:rsid w:val="00DF570E"/>
    <w:rsid w:val="00DF58E1"/>
    <w:rsid w:val="00DF63C7"/>
    <w:rsid w:val="00DF6726"/>
    <w:rsid w:val="00DF6BA5"/>
    <w:rsid w:val="00DF7272"/>
    <w:rsid w:val="00E02268"/>
    <w:rsid w:val="00E02735"/>
    <w:rsid w:val="00E03693"/>
    <w:rsid w:val="00E0383D"/>
    <w:rsid w:val="00E04BF4"/>
    <w:rsid w:val="00E05222"/>
    <w:rsid w:val="00E0687D"/>
    <w:rsid w:val="00E071F1"/>
    <w:rsid w:val="00E07634"/>
    <w:rsid w:val="00E07FCB"/>
    <w:rsid w:val="00E11319"/>
    <w:rsid w:val="00E125ED"/>
    <w:rsid w:val="00E12892"/>
    <w:rsid w:val="00E12ABA"/>
    <w:rsid w:val="00E12AFB"/>
    <w:rsid w:val="00E17E29"/>
    <w:rsid w:val="00E21A89"/>
    <w:rsid w:val="00E21D7A"/>
    <w:rsid w:val="00E2337F"/>
    <w:rsid w:val="00E24AB1"/>
    <w:rsid w:val="00E24F4B"/>
    <w:rsid w:val="00E264E7"/>
    <w:rsid w:val="00E266AE"/>
    <w:rsid w:val="00E270E5"/>
    <w:rsid w:val="00E3042A"/>
    <w:rsid w:val="00E30794"/>
    <w:rsid w:val="00E31260"/>
    <w:rsid w:val="00E3265E"/>
    <w:rsid w:val="00E329E1"/>
    <w:rsid w:val="00E32F63"/>
    <w:rsid w:val="00E33A57"/>
    <w:rsid w:val="00E33EDE"/>
    <w:rsid w:val="00E3426A"/>
    <w:rsid w:val="00E35BB9"/>
    <w:rsid w:val="00E35BFC"/>
    <w:rsid w:val="00E368D3"/>
    <w:rsid w:val="00E37110"/>
    <w:rsid w:val="00E3776C"/>
    <w:rsid w:val="00E41DEE"/>
    <w:rsid w:val="00E42034"/>
    <w:rsid w:val="00E44B23"/>
    <w:rsid w:val="00E46568"/>
    <w:rsid w:val="00E46B10"/>
    <w:rsid w:val="00E46C38"/>
    <w:rsid w:val="00E500F4"/>
    <w:rsid w:val="00E5590D"/>
    <w:rsid w:val="00E56723"/>
    <w:rsid w:val="00E576B3"/>
    <w:rsid w:val="00E6094B"/>
    <w:rsid w:val="00E611CC"/>
    <w:rsid w:val="00E61537"/>
    <w:rsid w:val="00E62146"/>
    <w:rsid w:val="00E63AB1"/>
    <w:rsid w:val="00E63EBB"/>
    <w:rsid w:val="00E6503C"/>
    <w:rsid w:val="00E66AD7"/>
    <w:rsid w:val="00E70207"/>
    <w:rsid w:val="00E715C0"/>
    <w:rsid w:val="00E72D9C"/>
    <w:rsid w:val="00E73DD6"/>
    <w:rsid w:val="00E73EDE"/>
    <w:rsid w:val="00E760CD"/>
    <w:rsid w:val="00E76884"/>
    <w:rsid w:val="00E768E4"/>
    <w:rsid w:val="00E77C92"/>
    <w:rsid w:val="00E80252"/>
    <w:rsid w:val="00E851DE"/>
    <w:rsid w:val="00E85998"/>
    <w:rsid w:val="00E86FA4"/>
    <w:rsid w:val="00E9026F"/>
    <w:rsid w:val="00E920B8"/>
    <w:rsid w:val="00E924EE"/>
    <w:rsid w:val="00E96180"/>
    <w:rsid w:val="00E9639E"/>
    <w:rsid w:val="00E97DFE"/>
    <w:rsid w:val="00EA0224"/>
    <w:rsid w:val="00EA3362"/>
    <w:rsid w:val="00EA4B96"/>
    <w:rsid w:val="00EA54CB"/>
    <w:rsid w:val="00EA55CA"/>
    <w:rsid w:val="00EA5B13"/>
    <w:rsid w:val="00EA5BF6"/>
    <w:rsid w:val="00EB04D1"/>
    <w:rsid w:val="00EB09A8"/>
    <w:rsid w:val="00EB1C05"/>
    <w:rsid w:val="00EB287A"/>
    <w:rsid w:val="00EB293B"/>
    <w:rsid w:val="00EB2B9E"/>
    <w:rsid w:val="00EB30AA"/>
    <w:rsid w:val="00EB383D"/>
    <w:rsid w:val="00EB3BCF"/>
    <w:rsid w:val="00EB3E28"/>
    <w:rsid w:val="00EB4E6C"/>
    <w:rsid w:val="00EB6022"/>
    <w:rsid w:val="00EB6D7E"/>
    <w:rsid w:val="00EB76DC"/>
    <w:rsid w:val="00EC0644"/>
    <w:rsid w:val="00EC14C2"/>
    <w:rsid w:val="00EC1542"/>
    <w:rsid w:val="00EC268D"/>
    <w:rsid w:val="00EC2BA4"/>
    <w:rsid w:val="00EC44D9"/>
    <w:rsid w:val="00EC50AF"/>
    <w:rsid w:val="00EC516C"/>
    <w:rsid w:val="00EC6626"/>
    <w:rsid w:val="00EC7AAD"/>
    <w:rsid w:val="00ED0101"/>
    <w:rsid w:val="00ED0778"/>
    <w:rsid w:val="00ED1AD2"/>
    <w:rsid w:val="00ED1D5A"/>
    <w:rsid w:val="00ED3F02"/>
    <w:rsid w:val="00ED62C7"/>
    <w:rsid w:val="00ED6C19"/>
    <w:rsid w:val="00ED6E07"/>
    <w:rsid w:val="00ED7324"/>
    <w:rsid w:val="00ED7578"/>
    <w:rsid w:val="00ED799C"/>
    <w:rsid w:val="00EE12BA"/>
    <w:rsid w:val="00EE1D40"/>
    <w:rsid w:val="00EE1F29"/>
    <w:rsid w:val="00EE330E"/>
    <w:rsid w:val="00EE51C2"/>
    <w:rsid w:val="00EE56A8"/>
    <w:rsid w:val="00EE5CC3"/>
    <w:rsid w:val="00EE76F4"/>
    <w:rsid w:val="00EF0EB1"/>
    <w:rsid w:val="00EF3C44"/>
    <w:rsid w:val="00EF4DF8"/>
    <w:rsid w:val="00EF51A7"/>
    <w:rsid w:val="00EF58AB"/>
    <w:rsid w:val="00EF58EF"/>
    <w:rsid w:val="00EF5A90"/>
    <w:rsid w:val="00EF5C25"/>
    <w:rsid w:val="00EF7595"/>
    <w:rsid w:val="00F00752"/>
    <w:rsid w:val="00F00A44"/>
    <w:rsid w:val="00F010EF"/>
    <w:rsid w:val="00F02D57"/>
    <w:rsid w:val="00F041E2"/>
    <w:rsid w:val="00F0425F"/>
    <w:rsid w:val="00F05754"/>
    <w:rsid w:val="00F06767"/>
    <w:rsid w:val="00F06ECE"/>
    <w:rsid w:val="00F07A3D"/>
    <w:rsid w:val="00F11697"/>
    <w:rsid w:val="00F12DB9"/>
    <w:rsid w:val="00F13135"/>
    <w:rsid w:val="00F1328E"/>
    <w:rsid w:val="00F132DA"/>
    <w:rsid w:val="00F14959"/>
    <w:rsid w:val="00F1546E"/>
    <w:rsid w:val="00F15756"/>
    <w:rsid w:val="00F1625B"/>
    <w:rsid w:val="00F20F53"/>
    <w:rsid w:val="00F210A9"/>
    <w:rsid w:val="00F21A3A"/>
    <w:rsid w:val="00F2261B"/>
    <w:rsid w:val="00F22751"/>
    <w:rsid w:val="00F232C8"/>
    <w:rsid w:val="00F27681"/>
    <w:rsid w:val="00F278EB"/>
    <w:rsid w:val="00F3167F"/>
    <w:rsid w:val="00F319C2"/>
    <w:rsid w:val="00F32002"/>
    <w:rsid w:val="00F322BB"/>
    <w:rsid w:val="00F32986"/>
    <w:rsid w:val="00F330F6"/>
    <w:rsid w:val="00F36781"/>
    <w:rsid w:val="00F374B1"/>
    <w:rsid w:val="00F406C1"/>
    <w:rsid w:val="00F4102C"/>
    <w:rsid w:val="00F41EBF"/>
    <w:rsid w:val="00F42094"/>
    <w:rsid w:val="00F428DA"/>
    <w:rsid w:val="00F4294E"/>
    <w:rsid w:val="00F458F8"/>
    <w:rsid w:val="00F46129"/>
    <w:rsid w:val="00F46278"/>
    <w:rsid w:val="00F46D57"/>
    <w:rsid w:val="00F47AED"/>
    <w:rsid w:val="00F508F2"/>
    <w:rsid w:val="00F509E8"/>
    <w:rsid w:val="00F51B38"/>
    <w:rsid w:val="00F52F75"/>
    <w:rsid w:val="00F56C83"/>
    <w:rsid w:val="00F575C7"/>
    <w:rsid w:val="00F5781B"/>
    <w:rsid w:val="00F57829"/>
    <w:rsid w:val="00F57AC6"/>
    <w:rsid w:val="00F6099F"/>
    <w:rsid w:val="00F61416"/>
    <w:rsid w:val="00F6251A"/>
    <w:rsid w:val="00F629F1"/>
    <w:rsid w:val="00F62EB8"/>
    <w:rsid w:val="00F647E1"/>
    <w:rsid w:val="00F6494D"/>
    <w:rsid w:val="00F664D1"/>
    <w:rsid w:val="00F6707F"/>
    <w:rsid w:val="00F702E4"/>
    <w:rsid w:val="00F70536"/>
    <w:rsid w:val="00F73463"/>
    <w:rsid w:val="00F73DD1"/>
    <w:rsid w:val="00F74660"/>
    <w:rsid w:val="00F74A5B"/>
    <w:rsid w:val="00F754BD"/>
    <w:rsid w:val="00F756EB"/>
    <w:rsid w:val="00F75B02"/>
    <w:rsid w:val="00F75DAF"/>
    <w:rsid w:val="00F76A0A"/>
    <w:rsid w:val="00F8135D"/>
    <w:rsid w:val="00F81526"/>
    <w:rsid w:val="00F81A2D"/>
    <w:rsid w:val="00F81F5D"/>
    <w:rsid w:val="00F82595"/>
    <w:rsid w:val="00F82845"/>
    <w:rsid w:val="00F83F47"/>
    <w:rsid w:val="00F84E8E"/>
    <w:rsid w:val="00F8624D"/>
    <w:rsid w:val="00F8649E"/>
    <w:rsid w:val="00F9060A"/>
    <w:rsid w:val="00F9088B"/>
    <w:rsid w:val="00F91589"/>
    <w:rsid w:val="00F9516E"/>
    <w:rsid w:val="00F958AE"/>
    <w:rsid w:val="00F95AE1"/>
    <w:rsid w:val="00FA07C6"/>
    <w:rsid w:val="00FA085D"/>
    <w:rsid w:val="00FA2791"/>
    <w:rsid w:val="00FA2AEA"/>
    <w:rsid w:val="00FA3AB2"/>
    <w:rsid w:val="00FA3B4D"/>
    <w:rsid w:val="00FA3DCF"/>
    <w:rsid w:val="00FA708B"/>
    <w:rsid w:val="00FB068C"/>
    <w:rsid w:val="00FB09CF"/>
    <w:rsid w:val="00FB1487"/>
    <w:rsid w:val="00FB1562"/>
    <w:rsid w:val="00FB2FE7"/>
    <w:rsid w:val="00FB3181"/>
    <w:rsid w:val="00FB36B8"/>
    <w:rsid w:val="00FB49CF"/>
    <w:rsid w:val="00FB4C06"/>
    <w:rsid w:val="00FB6520"/>
    <w:rsid w:val="00FB6A52"/>
    <w:rsid w:val="00FB79DA"/>
    <w:rsid w:val="00FC00D6"/>
    <w:rsid w:val="00FC2E04"/>
    <w:rsid w:val="00FC373E"/>
    <w:rsid w:val="00FC3900"/>
    <w:rsid w:val="00FC54EA"/>
    <w:rsid w:val="00FC5B9B"/>
    <w:rsid w:val="00FC5CAB"/>
    <w:rsid w:val="00FC605E"/>
    <w:rsid w:val="00FC6078"/>
    <w:rsid w:val="00FC70D2"/>
    <w:rsid w:val="00FD00D3"/>
    <w:rsid w:val="00FD18EA"/>
    <w:rsid w:val="00FD2237"/>
    <w:rsid w:val="00FD2314"/>
    <w:rsid w:val="00FD28D1"/>
    <w:rsid w:val="00FD292F"/>
    <w:rsid w:val="00FD40E5"/>
    <w:rsid w:val="00FD5011"/>
    <w:rsid w:val="00FD6093"/>
    <w:rsid w:val="00FE035D"/>
    <w:rsid w:val="00FE0B2E"/>
    <w:rsid w:val="00FE15EE"/>
    <w:rsid w:val="00FE42D9"/>
    <w:rsid w:val="00FE6B42"/>
    <w:rsid w:val="00FE7FD2"/>
    <w:rsid w:val="00FF0169"/>
    <w:rsid w:val="00FF03CE"/>
    <w:rsid w:val="00FF1734"/>
    <w:rsid w:val="00FF1B90"/>
    <w:rsid w:val="00FF2084"/>
    <w:rsid w:val="00FF24EA"/>
    <w:rsid w:val="00FF5E3A"/>
    <w:rsid w:val="00FF6B3B"/>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671CC"/>
  <w15:docId w15:val="{EF90B7C3-354F-4362-989B-DCB1BA98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520"/>
    <w:rPr>
      <w:rFonts w:ascii="Calibri" w:eastAsia="Times New Roman" w:hAnsi="Calibri" w:cs="Times New Roman"/>
    </w:rPr>
  </w:style>
  <w:style w:type="paragraph" w:styleId="Heading1">
    <w:name w:val="heading 1"/>
    <w:basedOn w:val="Normal"/>
    <w:next w:val="Normal"/>
    <w:link w:val="Heading1Char"/>
    <w:uiPriority w:val="9"/>
    <w:qFormat/>
    <w:rsid w:val="00181B6D"/>
    <w:pPr>
      <w:keepNext/>
      <w:keepLines/>
      <w:spacing w:before="240" w:after="0"/>
      <w:outlineLvl w:val="0"/>
    </w:pPr>
    <w:rPr>
      <w:rFonts w:asciiTheme="majorHAnsi" w:eastAsiaTheme="majorEastAsia" w:hAnsiTheme="majorHAnsi" w:cstheme="majorBidi"/>
      <w:color w:val="2A6C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2520"/>
    <w:rPr>
      <w:rFonts w:cs="Times New Roman"/>
      <w:color w:val="0000FF"/>
      <w:u w:val="single"/>
    </w:rPr>
  </w:style>
  <w:style w:type="paragraph" w:styleId="FootnoteText">
    <w:name w:val="footnote text"/>
    <w:basedOn w:val="Normal"/>
    <w:link w:val="FootnoteTextChar"/>
    <w:semiHidden/>
    <w:rsid w:val="00902520"/>
    <w:pPr>
      <w:spacing w:after="0" w:line="240" w:lineRule="auto"/>
    </w:pPr>
    <w:rPr>
      <w:sz w:val="20"/>
      <w:szCs w:val="20"/>
    </w:rPr>
  </w:style>
  <w:style w:type="character" w:customStyle="1" w:styleId="FootnoteTextChar">
    <w:name w:val="Footnote Text Char"/>
    <w:basedOn w:val="DefaultParagraphFont"/>
    <w:link w:val="FootnoteText"/>
    <w:semiHidden/>
    <w:rsid w:val="00902520"/>
    <w:rPr>
      <w:rFonts w:ascii="Calibri" w:eastAsia="Times New Roman" w:hAnsi="Calibri" w:cs="Times New Roman"/>
      <w:sz w:val="20"/>
      <w:szCs w:val="20"/>
    </w:rPr>
  </w:style>
  <w:style w:type="character" w:styleId="FootnoteReference">
    <w:name w:val="footnote reference"/>
    <w:basedOn w:val="DefaultParagraphFont"/>
    <w:semiHidden/>
    <w:rsid w:val="00902520"/>
    <w:rPr>
      <w:rFonts w:cs="Times New Roman"/>
      <w:vertAlign w:val="superscript"/>
    </w:rPr>
  </w:style>
  <w:style w:type="paragraph" w:styleId="ListParagraph">
    <w:name w:val="List Paragraph"/>
    <w:basedOn w:val="Normal"/>
    <w:uiPriority w:val="34"/>
    <w:qFormat/>
    <w:rsid w:val="00A6458C"/>
    <w:pPr>
      <w:ind w:left="720"/>
      <w:contextualSpacing/>
    </w:pPr>
  </w:style>
  <w:style w:type="paragraph" w:styleId="BodyText3">
    <w:name w:val="Body Text 3"/>
    <w:basedOn w:val="Normal"/>
    <w:link w:val="BodyText3Char"/>
    <w:rsid w:val="007D54CE"/>
    <w:pPr>
      <w:widowControl w:val="0"/>
      <w:tabs>
        <w:tab w:val="left" w:pos="-720"/>
      </w:tabs>
      <w:suppressAutoHyphens/>
      <w:spacing w:after="0" w:line="240" w:lineRule="auto"/>
    </w:pPr>
    <w:rPr>
      <w:rFonts w:ascii="Times New Roman" w:hAnsi="Times New Roman"/>
      <w:i/>
      <w:sz w:val="20"/>
      <w:szCs w:val="24"/>
    </w:rPr>
  </w:style>
  <w:style w:type="character" w:customStyle="1" w:styleId="BodyText3Char">
    <w:name w:val="Body Text 3 Char"/>
    <w:basedOn w:val="DefaultParagraphFont"/>
    <w:link w:val="BodyText3"/>
    <w:rsid w:val="007D54CE"/>
    <w:rPr>
      <w:rFonts w:ascii="Times New Roman" w:eastAsia="Times New Roman" w:hAnsi="Times New Roman" w:cs="Times New Roman"/>
      <w:i/>
      <w:sz w:val="20"/>
      <w:szCs w:val="24"/>
    </w:rPr>
  </w:style>
  <w:style w:type="paragraph" w:styleId="NormalWeb">
    <w:name w:val="Normal (Web)"/>
    <w:basedOn w:val="Normal"/>
    <w:uiPriority w:val="99"/>
    <w:rsid w:val="00970A66"/>
    <w:pPr>
      <w:spacing w:after="0" w:line="285" w:lineRule="atLeast"/>
    </w:pPr>
    <w:rPr>
      <w:rFonts w:ascii="Verdana" w:eastAsia="Calibri" w:hAnsi="Verdana"/>
      <w:color w:val="444444"/>
      <w:sz w:val="18"/>
      <w:szCs w:val="18"/>
    </w:rPr>
  </w:style>
  <w:style w:type="character" w:styleId="Strong">
    <w:name w:val="Strong"/>
    <w:basedOn w:val="DefaultParagraphFont"/>
    <w:qFormat/>
    <w:rsid w:val="00970A66"/>
    <w:rPr>
      <w:rFonts w:cs="Times New Roman"/>
      <w:b/>
      <w:bCs/>
    </w:rPr>
  </w:style>
  <w:style w:type="paragraph" w:styleId="NoSpacing">
    <w:name w:val="No Spacing"/>
    <w:link w:val="NoSpacingChar"/>
    <w:uiPriority w:val="1"/>
    <w:qFormat/>
    <w:rsid w:val="00A710D6"/>
    <w:pPr>
      <w:spacing w:after="0" w:line="240" w:lineRule="auto"/>
    </w:pPr>
    <w:rPr>
      <w:rFonts w:eastAsiaTheme="minorEastAsia"/>
    </w:rPr>
  </w:style>
  <w:style w:type="character" w:customStyle="1" w:styleId="NoSpacingChar">
    <w:name w:val="No Spacing Char"/>
    <w:basedOn w:val="DefaultParagraphFont"/>
    <w:link w:val="NoSpacing"/>
    <w:uiPriority w:val="1"/>
    <w:rsid w:val="00A710D6"/>
    <w:rPr>
      <w:rFonts w:eastAsiaTheme="minorEastAsia"/>
    </w:rPr>
  </w:style>
  <w:style w:type="paragraph" w:styleId="BalloonText">
    <w:name w:val="Balloon Text"/>
    <w:basedOn w:val="Normal"/>
    <w:link w:val="BalloonTextChar"/>
    <w:uiPriority w:val="99"/>
    <w:semiHidden/>
    <w:unhideWhenUsed/>
    <w:rsid w:val="00A71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0D6"/>
    <w:rPr>
      <w:rFonts w:ascii="Tahoma" w:eastAsia="Times New Roman" w:hAnsi="Tahoma" w:cs="Tahoma"/>
      <w:sz w:val="16"/>
      <w:szCs w:val="16"/>
    </w:rPr>
  </w:style>
  <w:style w:type="paragraph" w:styleId="Header">
    <w:name w:val="header"/>
    <w:basedOn w:val="Normal"/>
    <w:link w:val="HeaderChar"/>
    <w:uiPriority w:val="99"/>
    <w:unhideWhenUsed/>
    <w:rsid w:val="009F0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B7"/>
    <w:rPr>
      <w:rFonts w:ascii="Calibri" w:eastAsia="Times New Roman" w:hAnsi="Calibri" w:cs="Times New Roman"/>
    </w:rPr>
  </w:style>
  <w:style w:type="paragraph" w:styleId="Footer">
    <w:name w:val="footer"/>
    <w:basedOn w:val="Normal"/>
    <w:link w:val="FooterChar"/>
    <w:uiPriority w:val="99"/>
    <w:unhideWhenUsed/>
    <w:rsid w:val="003A4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E76"/>
    <w:rPr>
      <w:rFonts w:ascii="Calibri" w:eastAsia="Times New Roman" w:hAnsi="Calibri" w:cs="Times New Roman"/>
    </w:rPr>
  </w:style>
  <w:style w:type="table" w:styleId="TableGrid">
    <w:name w:val="Table Grid"/>
    <w:basedOn w:val="TableNormal"/>
    <w:rsid w:val="00BD77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5652C"/>
    <w:pPr>
      <w:spacing w:after="0" w:line="240" w:lineRule="auto"/>
    </w:pPr>
    <w:rPr>
      <w:color w:val="C48B01" w:themeColor="accent2" w:themeShade="BF"/>
    </w:rPr>
    <w:tblPr>
      <w:tblStyleRowBandSize w:val="1"/>
      <w:tblStyleColBandSize w:val="1"/>
      <w:tblBorders>
        <w:top w:val="single" w:sz="8" w:space="0" w:color="FEB80A" w:themeColor="accent2"/>
        <w:bottom w:val="single" w:sz="8" w:space="0" w:color="FEB80A" w:themeColor="accent2"/>
      </w:tblBorders>
    </w:tblPr>
    <w:tblStylePr w:type="firstRow">
      <w:pPr>
        <w:spacing w:before="0" w:after="0" w:line="240" w:lineRule="auto"/>
      </w:pPr>
      <w:rPr>
        <w:b/>
        <w:bCs/>
      </w:rPr>
      <w:tblPr/>
      <w:tcPr>
        <w:tcBorders>
          <w:top w:val="single" w:sz="8" w:space="0" w:color="FEB80A" w:themeColor="accent2"/>
          <w:left w:val="nil"/>
          <w:bottom w:val="single" w:sz="8" w:space="0" w:color="FEB80A" w:themeColor="accent2"/>
          <w:right w:val="nil"/>
          <w:insideH w:val="nil"/>
          <w:insideV w:val="nil"/>
        </w:tcBorders>
      </w:tcPr>
    </w:tblStylePr>
    <w:tblStylePr w:type="lastRow">
      <w:pPr>
        <w:spacing w:before="0" w:after="0" w:line="240" w:lineRule="auto"/>
      </w:pPr>
      <w:rPr>
        <w:b/>
        <w:bCs/>
      </w:rPr>
      <w:tblPr/>
      <w:tcPr>
        <w:tcBorders>
          <w:top w:val="single" w:sz="8" w:space="0" w:color="FEB80A" w:themeColor="accent2"/>
          <w:left w:val="nil"/>
          <w:bottom w:val="single" w:sz="8" w:space="0" w:color="FEB8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hemeFill="accent2" w:themeFillTint="3F"/>
      </w:tcPr>
    </w:tblStylePr>
    <w:tblStylePr w:type="band1Horz">
      <w:tblPr/>
      <w:tcPr>
        <w:tcBorders>
          <w:left w:val="nil"/>
          <w:right w:val="nil"/>
          <w:insideH w:val="nil"/>
          <w:insideV w:val="nil"/>
        </w:tcBorders>
        <w:shd w:val="clear" w:color="auto" w:fill="FEEDC2" w:themeFill="accent2" w:themeFillTint="3F"/>
      </w:tcPr>
    </w:tblStylePr>
  </w:style>
  <w:style w:type="table" w:styleId="LightShading-Accent4">
    <w:name w:val="Light Shading Accent 4"/>
    <w:basedOn w:val="TableNormal"/>
    <w:uiPriority w:val="60"/>
    <w:rsid w:val="0065652C"/>
    <w:pPr>
      <w:spacing w:after="0" w:line="240" w:lineRule="auto"/>
    </w:pPr>
    <w:rPr>
      <w:color w:val="627F26" w:themeColor="accent4" w:themeShade="BF"/>
    </w:rPr>
    <w:tblPr>
      <w:tblStyleRowBandSize w:val="1"/>
      <w:tblStyleColBandSize w:val="1"/>
      <w:tblBorders>
        <w:top w:val="single" w:sz="8" w:space="0" w:color="84AA33" w:themeColor="accent4"/>
        <w:bottom w:val="single" w:sz="8" w:space="0" w:color="84AA33" w:themeColor="accent4"/>
      </w:tblBorders>
    </w:tblPr>
    <w:tblStylePr w:type="firstRow">
      <w:pPr>
        <w:spacing w:before="0" w:after="0" w:line="240" w:lineRule="auto"/>
      </w:pPr>
      <w:rPr>
        <w:b/>
        <w:bCs/>
      </w:rPr>
      <w:tblPr/>
      <w:tcPr>
        <w:tcBorders>
          <w:top w:val="single" w:sz="8" w:space="0" w:color="84AA33" w:themeColor="accent4"/>
          <w:left w:val="nil"/>
          <w:bottom w:val="single" w:sz="8" w:space="0" w:color="84AA33" w:themeColor="accent4"/>
          <w:right w:val="nil"/>
          <w:insideH w:val="nil"/>
          <w:insideV w:val="nil"/>
        </w:tcBorders>
      </w:tcPr>
    </w:tblStylePr>
    <w:tblStylePr w:type="lastRow">
      <w:pPr>
        <w:spacing w:before="0" w:after="0" w:line="240" w:lineRule="auto"/>
      </w:pPr>
      <w:rPr>
        <w:b/>
        <w:bCs/>
      </w:rPr>
      <w:tblPr/>
      <w:tcPr>
        <w:tcBorders>
          <w:top w:val="single" w:sz="8" w:space="0" w:color="84AA33" w:themeColor="accent4"/>
          <w:left w:val="nil"/>
          <w:bottom w:val="single" w:sz="8" w:space="0" w:color="84AA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7" w:themeFill="accent4" w:themeFillTint="3F"/>
      </w:tcPr>
    </w:tblStylePr>
    <w:tblStylePr w:type="band1Horz">
      <w:tblPr/>
      <w:tcPr>
        <w:tcBorders>
          <w:left w:val="nil"/>
          <w:right w:val="nil"/>
          <w:insideH w:val="nil"/>
          <w:insideV w:val="nil"/>
        </w:tcBorders>
        <w:shd w:val="clear" w:color="auto" w:fill="E2EEC7" w:themeFill="accent4" w:themeFillTint="3F"/>
      </w:tcPr>
    </w:tblStylePr>
  </w:style>
  <w:style w:type="table" w:styleId="LightShading-Accent3">
    <w:name w:val="Light Shading Accent 3"/>
    <w:basedOn w:val="TableNormal"/>
    <w:uiPriority w:val="60"/>
    <w:rsid w:val="0065652C"/>
    <w:pPr>
      <w:spacing w:after="0" w:line="240" w:lineRule="auto"/>
    </w:pPr>
    <w:rPr>
      <w:color w:val="912122" w:themeColor="accent3" w:themeShade="BF"/>
    </w:rPr>
    <w:tblPr>
      <w:tblStyleRowBandSize w:val="1"/>
      <w:tblStyleColBandSize w:val="1"/>
      <w:tblBorders>
        <w:top w:val="single" w:sz="8" w:space="0" w:color="C32D2E" w:themeColor="accent3"/>
        <w:bottom w:val="single" w:sz="8" w:space="0" w:color="C32D2E" w:themeColor="accent3"/>
      </w:tblBorders>
    </w:tblPr>
    <w:tblStylePr w:type="firstRow">
      <w:pPr>
        <w:spacing w:before="0" w:after="0" w:line="240" w:lineRule="auto"/>
      </w:pPr>
      <w:rPr>
        <w:b/>
        <w:bCs/>
      </w:rPr>
      <w:tblPr/>
      <w:tcPr>
        <w:tcBorders>
          <w:top w:val="single" w:sz="8" w:space="0" w:color="C32D2E" w:themeColor="accent3"/>
          <w:left w:val="nil"/>
          <w:bottom w:val="single" w:sz="8" w:space="0" w:color="C32D2E" w:themeColor="accent3"/>
          <w:right w:val="nil"/>
          <w:insideH w:val="nil"/>
          <w:insideV w:val="nil"/>
        </w:tcBorders>
      </w:tcPr>
    </w:tblStylePr>
    <w:tblStylePr w:type="lastRow">
      <w:pPr>
        <w:spacing w:before="0" w:after="0" w:line="240" w:lineRule="auto"/>
      </w:pPr>
      <w:rPr>
        <w:b/>
        <w:bCs/>
      </w:rPr>
      <w:tblPr/>
      <w:tcPr>
        <w:tcBorders>
          <w:top w:val="single" w:sz="8" w:space="0" w:color="C32D2E" w:themeColor="accent3"/>
          <w:left w:val="nil"/>
          <w:bottom w:val="single" w:sz="8" w:space="0" w:color="C32D2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8C8" w:themeFill="accent3" w:themeFillTint="3F"/>
      </w:tcPr>
    </w:tblStylePr>
    <w:tblStylePr w:type="band1Horz">
      <w:tblPr/>
      <w:tcPr>
        <w:tcBorders>
          <w:left w:val="nil"/>
          <w:right w:val="nil"/>
          <w:insideH w:val="nil"/>
          <w:insideV w:val="nil"/>
        </w:tcBorders>
        <w:shd w:val="clear" w:color="auto" w:fill="F2C8C8" w:themeFill="accent3" w:themeFillTint="3F"/>
      </w:tcPr>
    </w:tblStylePr>
  </w:style>
  <w:style w:type="table" w:customStyle="1" w:styleId="LightShading-Accent11">
    <w:name w:val="Light Shading - Accent 11"/>
    <w:basedOn w:val="TableNormal"/>
    <w:uiPriority w:val="60"/>
    <w:rsid w:val="0065652C"/>
    <w:pPr>
      <w:spacing w:after="0" w:line="240" w:lineRule="auto"/>
    </w:pPr>
    <w:rPr>
      <w:color w:val="2A6C7D" w:themeColor="accent1" w:themeShade="BF"/>
    </w:rPr>
    <w:tblPr>
      <w:tblStyleRowBandSize w:val="1"/>
      <w:tblStyleColBandSize w:val="1"/>
      <w:tblBorders>
        <w:top w:val="single" w:sz="8" w:space="0" w:color="3891A7" w:themeColor="accent1"/>
        <w:bottom w:val="single" w:sz="8" w:space="0" w:color="3891A7" w:themeColor="accent1"/>
      </w:tblBorders>
    </w:tblPr>
    <w:tblStylePr w:type="firstRow">
      <w:pPr>
        <w:spacing w:before="0" w:after="0" w:line="240" w:lineRule="auto"/>
      </w:pPr>
      <w:rPr>
        <w:b/>
        <w:bCs/>
      </w:rPr>
      <w:tblPr/>
      <w:tcPr>
        <w:tcBorders>
          <w:top w:val="single" w:sz="8" w:space="0" w:color="3891A7" w:themeColor="accent1"/>
          <w:left w:val="nil"/>
          <w:bottom w:val="single" w:sz="8" w:space="0" w:color="3891A7" w:themeColor="accent1"/>
          <w:right w:val="nil"/>
          <w:insideH w:val="nil"/>
          <w:insideV w:val="nil"/>
        </w:tcBorders>
      </w:tcPr>
    </w:tblStylePr>
    <w:tblStylePr w:type="lastRow">
      <w:pPr>
        <w:spacing w:before="0" w:after="0" w:line="240" w:lineRule="auto"/>
      </w:pPr>
      <w:rPr>
        <w:b/>
        <w:bCs/>
      </w:rPr>
      <w:tblPr/>
      <w:tcPr>
        <w:tcBorders>
          <w:top w:val="single" w:sz="8" w:space="0" w:color="3891A7" w:themeColor="accent1"/>
          <w:left w:val="nil"/>
          <w:bottom w:val="single" w:sz="8" w:space="0" w:color="3891A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hemeFill="accent1" w:themeFillTint="3F"/>
      </w:tcPr>
    </w:tblStylePr>
    <w:tblStylePr w:type="band1Horz">
      <w:tblPr/>
      <w:tcPr>
        <w:tcBorders>
          <w:left w:val="nil"/>
          <w:right w:val="nil"/>
          <w:insideH w:val="nil"/>
          <w:insideV w:val="nil"/>
        </w:tcBorders>
        <w:shd w:val="clear" w:color="auto" w:fill="C9E6ED" w:themeFill="accent1" w:themeFillTint="3F"/>
      </w:tcPr>
    </w:tblStylePr>
  </w:style>
  <w:style w:type="paragraph" w:styleId="BodyText">
    <w:name w:val="Body Text"/>
    <w:basedOn w:val="Normal"/>
    <w:link w:val="BodyTextChar"/>
    <w:uiPriority w:val="99"/>
    <w:semiHidden/>
    <w:unhideWhenUsed/>
    <w:rsid w:val="008F3C8D"/>
    <w:pPr>
      <w:spacing w:after="120"/>
    </w:pPr>
  </w:style>
  <w:style w:type="character" w:customStyle="1" w:styleId="BodyTextChar">
    <w:name w:val="Body Text Char"/>
    <w:basedOn w:val="DefaultParagraphFont"/>
    <w:link w:val="BodyText"/>
    <w:uiPriority w:val="99"/>
    <w:semiHidden/>
    <w:rsid w:val="008F3C8D"/>
    <w:rPr>
      <w:rFonts w:ascii="Calibri" w:eastAsia="Times New Roman" w:hAnsi="Calibri" w:cs="Times New Roman"/>
    </w:rPr>
  </w:style>
  <w:style w:type="table" w:styleId="LightList-Accent3">
    <w:name w:val="Light List Accent 3"/>
    <w:basedOn w:val="TableNormal"/>
    <w:uiPriority w:val="61"/>
    <w:rsid w:val="00011ECB"/>
    <w:pPr>
      <w:spacing w:after="0" w:line="240" w:lineRule="auto"/>
    </w:pPr>
    <w:tblPr>
      <w:tblStyleRowBandSize w:val="1"/>
      <w:tblStyleColBandSize w:val="1"/>
      <w:tblBorders>
        <w:top w:val="single" w:sz="8" w:space="0" w:color="C32D2E" w:themeColor="accent3"/>
        <w:left w:val="single" w:sz="8" w:space="0" w:color="C32D2E" w:themeColor="accent3"/>
        <w:bottom w:val="single" w:sz="8" w:space="0" w:color="C32D2E" w:themeColor="accent3"/>
        <w:right w:val="single" w:sz="8" w:space="0" w:color="C32D2E" w:themeColor="accent3"/>
      </w:tblBorders>
    </w:tblPr>
    <w:tblStylePr w:type="firstRow">
      <w:pPr>
        <w:spacing w:before="0" w:after="0" w:line="240" w:lineRule="auto"/>
      </w:pPr>
      <w:rPr>
        <w:b/>
        <w:bCs/>
        <w:color w:val="FFFFFF" w:themeColor="background1"/>
      </w:rPr>
      <w:tblPr/>
      <w:tcPr>
        <w:shd w:val="clear" w:color="auto" w:fill="C32D2E" w:themeFill="accent3"/>
      </w:tcPr>
    </w:tblStylePr>
    <w:tblStylePr w:type="lastRow">
      <w:pPr>
        <w:spacing w:before="0" w:after="0" w:line="240" w:lineRule="auto"/>
      </w:pPr>
      <w:rPr>
        <w:b/>
        <w:bCs/>
      </w:rPr>
      <w:tblPr/>
      <w:tcPr>
        <w:tcBorders>
          <w:top w:val="double" w:sz="6" w:space="0" w:color="C32D2E" w:themeColor="accent3"/>
          <w:left w:val="single" w:sz="8" w:space="0" w:color="C32D2E" w:themeColor="accent3"/>
          <w:bottom w:val="single" w:sz="8" w:space="0" w:color="C32D2E" w:themeColor="accent3"/>
          <w:right w:val="single" w:sz="8" w:space="0" w:color="C32D2E" w:themeColor="accent3"/>
        </w:tcBorders>
      </w:tcPr>
    </w:tblStylePr>
    <w:tblStylePr w:type="firstCol">
      <w:rPr>
        <w:b/>
        <w:bCs/>
      </w:rPr>
    </w:tblStylePr>
    <w:tblStylePr w:type="lastCol">
      <w:rPr>
        <w:b/>
        <w:bCs/>
      </w:rPr>
    </w:tblStylePr>
    <w:tblStylePr w:type="band1Vert">
      <w:tblPr/>
      <w:tcPr>
        <w:tcBorders>
          <w:top w:val="single" w:sz="8" w:space="0" w:color="C32D2E" w:themeColor="accent3"/>
          <w:left w:val="single" w:sz="8" w:space="0" w:color="C32D2E" w:themeColor="accent3"/>
          <w:bottom w:val="single" w:sz="8" w:space="0" w:color="C32D2E" w:themeColor="accent3"/>
          <w:right w:val="single" w:sz="8" w:space="0" w:color="C32D2E" w:themeColor="accent3"/>
        </w:tcBorders>
      </w:tcPr>
    </w:tblStylePr>
    <w:tblStylePr w:type="band1Horz">
      <w:tblPr/>
      <w:tcPr>
        <w:tcBorders>
          <w:top w:val="single" w:sz="8" w:space="0" w:color="C32D2E" w:themeColor="accent3"/>
          <w:left w:val="single" w:sz="8" w:space="0" w:color="C32D2E" w:themeColor="accent3"/>
          <w:bottom w:val="single" w:sz="8" w:space="0" w:color="C32D2E" w:themeColor="accent3"/>
          <w:right w:val="single" w:sz="8" w:space="0" w:color="C32D2E" w:themeColor="accent3"/>
        </w:tcBorders>
      </w:tcPr>
    </w:tblStylePr>
  </w:style>
  <w:style w:type="table" w:styleId="MediumShading2-Accent3">
    <w:name w:val="Medium Shading 2 Accent 3"/>
    <w:basedOn w:val="TableNormal"/>
    <w:uiPriority w:val="64"/>
    <w:rsid w:val="00A17C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2D2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2D2E" w:themeFill="accent3"/>
      </w:tcPr>
    </w:tblStylePr>
    <w:tblStylePr w:type="lastCol">
      <w:rPr>
        <w:b/>
        <w:bCs/>
        <w:color w:val="FFFFFF" w:themeColor="background1"/>
      </w:rPr>
      <w:tblPr/>
      <w:tcPr>
        <w:tcBorders>
          <w:left w:val="nil"/>
          <w:right w:val="nil"/>
          <w:insideH w:val="nil"/>
          <w:insideV w:val="nil"/>
        </w:tcBorders>
        <w:shd w:val="clear" w:color="auto" w:fill="C32D2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A17C50"/>
    <w:pPr>
      <w:spacing w:after="0" w:line="240" w:lineRule="auto"/>
    </w:pPr>
    <w:tblPr>
      <w:tblStyleRowBandSize w:val="1"/>
      <w:tblStyleColBandSize w:val="1"/>
      <w:tblBorders>
        <w:top w:val="single" w:sz="8" w:space="0" w:color="D95A5A" w:themeColor="accent3" w:themeTint="BF"/>
        <w:left w:val="single" w:sz="8" w:space="0" w:color="D95A5A" w:themeColor="accent3" w:themeTint="BF"/>
        <w:bottom w:val="single" w:sz="8" w:space="0" w:color="D95A5A" w:themeColor="accent3" w:themeTint="BF"/>
        <w:right w:val="single" w:sz="8" w:space="0" w:color="D95A5A" w:themeColor="accent3" w:themeTint="BF"/>
        <w:insideH w:val="single" w:sz="8" w:space="0" w:color="D95A5A" w:themeColor="accent3" w:themeTint="BF"/>
      </w:tblBorders>
    </w:tblPr>
    <w:tblStylePr w:type="firstRow">
      <w:pPr>
        <w:spacing w:before="0" w:after="0" w:line="240" w:lineRule="auto"/>
      </w:pPr>
      <w:rPr>
        <w:b/>
        <w:bCs/>
        <w:color w:val="FFFFFF" w:themeColor="background1"/>
      </w:rPr>
      <w:tblPr/>
      <w:tcPr>
        <w:tcBorders>
          <w:top w:val="single" w:sz="8" w:space="0" w:color="D95A5A" w:themeColor="accent3" w:themeTint="BF"/>
          <w:left w:val="single" w:sz="8" w:space="0" w:color="D95A5A" w:themeColor="accent3" w:themeTint="BF"/>
          <w:bottom w:val="single" w:sz="8" w:space="0" w:color="D95A5A" w:themeColor="accent3" w:themeTint="BF"/>
          <w:right w:val="single" w:sz="8" w:space="0" w:color="D95A5A" w:themeColor="accent3" w:themeTint="BF"/>
          <w:insideH w:val="nil"/>
          <w:insideV w:val="nil"/>
        </w:tcBorders>
        <w:shd w:val="clear" w:color="auto" w:fill="C32D2E" w:themeFill="accent3"/>
      </w:tcPr>
    </w:tblStylePr>
    <w:tblStylePr w:type="lastRow">
      <w:pPr>
        <w:spacing w:before="0" w:after="0" w:line="240" w:lineRule="auto"/>
      </w:pPr>
      <w:rPr>
        <w:b/>
        <w:bCs/>
      </w:rPr>
      <w:tblPr/>
      <w:tcPr>
        <w:tcBorders>
          <w:top w:val="double" w:sz="6" w:space="0" w:color="D95A5A" w:themeColor="accent3" w:themeTint="BF"/>
          <w:left w:val="single" w:sz="8" w:space="0" w:color="D95A5A" w:themeColor="accent3" w:themeTint="BF"/>
          <w:bottom w:val="single" w:sz="8" w:space="0" w:color="D95A5A" w:themeColor="accent3" w:themeTint="BF"/>
          <w:right w:val="single" w:sz="8" w:space="0" w:color="D95A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8C8" w:themeFill="accent3" w:themeFillTint="3F"/>
      </w:tcPr>
    </w:tblStylePr>
    <w:tblStylePr w:type="band1Horz">
      <w:tblPr/>
      <w:tcPr>
        <w:tcBorders>
          <w:insideH w:val="nil"/>
          <w:insideV w:val="nil"/>
        </w:tcBorders>
        <w:shd w:val="clear" w:color="auto" w:fill="F2C8C8" w:themeFill="accent3"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A17C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430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4305" w:themeFill="accent5"/>
      </w:tcPr>
    </w:tblStylePr>
    <w:tblStylePr w:type="lastCol">
      <w:rPr>
        <w:b/>
        <w:bCs/>
        <w:color w:val="FFFFFF" w:themeColor="background1"/>
      </w:rPr>
      <w:tblPr/>
      <w:tcPr>
        <w:tcBorders>
          <w:left w:val="nil"/>
          <w:right w:val="nil"/>
          <w:insideH w:val="nil"/>
          <w:insideV w:val="nil"/>
        </w:tcBorders>
        <w:shd w:val="clear" w:color="auto" w:fill="96430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2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A3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AA33" w:themeFill="accent4"/>
      </w:tcPr>
    </w:tblStylePr>
    <w:tblStylePr w:type="lastCol">
      <w:rPr>
        <w:b/>
        <w:bCs/>
        <w:color w:val="FFFFFF" w:themeColor="background1"/>
      </w:rPr>
      <w:tblPr/>
      <w:tcPr>
        <w:tcBorders>
          <w:left w:val="nil"/>
          <w:right w:val="nil"/>
          <w:insideH w:val="nil"/>
          <w:insideV w:val="nil"/>
        </w:tcBorders>
        <w:shd w:val="clear" w:color="auto" w:fill="84AA3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460A50"/>
    <w:pPr>
      <w:spacing w:after="0" w:line="240" w:lineRule="auto"/>
    </w:pPr>
    <w:tblPr>
      <w:tblStyleRowBandSize w:val="1"/>
      <w:tblStyleColBandSize w:val="1"/>
      <w:tblBorders>
        <w:top w:val="single" w:sz="8" w:space="0" w:color="6A7EB4" w:themeColor="accent6" w:themeTint="BF"/>
        <w:left w:val="single" w:sz="8" w:space="0" w:color="6A7EB4" w:themeColor="accent6" w:themeTint="BF"/>
        <w:bottom w:val="single" w:sz="8" w:space="0" w:color="6A7EB4" w:themeColor="accent6" w:themeTint="BF"/>
        <w:right w:val="single" w:sz="8" w:space="0" w:color="6A7EB4" w:themeColor="accent6" w:themeTint="BF"/>
        <w:insideH w:val="single" w:sz="8" w:space="0" w:color="6A7EB4" w:themeColor="accent6" w:themeTint="BF"/>
      </w:tblBorders>
    </w:tblPr>
    <w:tblStylePr w:type="firstRow">
      <w:pPr>
        <w:spacing w:before="0" w:after="0" w:line="240" w:lineRule="auto"/>
      </w:pPr>
      <w:rPr>
        <w:b/>
        <w:bCs/>
        <w:color w:val="FFFFFF" w:themeColor="background1"/>
      </w:rPr>
      <w:tblPr/>
      <w:tcPr>
        <w:tcBorders>
          <w:top w:val="single" w:sz="8" w:space="0" w:color="6A7EB4" w:themeColor="accent6" w:themeTint="BF"/>
          <w:left w:val="single" w:sz="8" w:space="0" w:color="6A7EB4" w:themeColor="accent6" w:themeTint="BF"/>
          <w:bottom w:val="single" w:sz="8" w:space="0" w:color="6A7EB4" w:themeColor="accent6" w:themeTint="BF"/>
          <w:right w:val="single" w:sz="8" w:space="0" w:color="6A7EB4" w:themeColor="accent6" w:themeTint="BF"/>
          <w:insideH w:val="nil"/>
          <w:insideV w:val="nil"/>
        </w:tcBorders>
        <w:shd w:val="clear" w:color="auto" w:fill="475A8D" w:themeFill="accent6"/>
      </w:tcPr>
    </w:tblStylePr>
    <w:tblStylePr w:type="lastRow">
      <w:pPr>
        <w:spacing w:before="0" w:after="0" w:line="240" w:lineRule="auto"/>
      </w:pPr>
      <w:rPr>
        <w:b/>
        <w:bCs/>
      </w:rPr>
      <w:tblPr/>
      <w:tcPr>
        <w:tcBorders>
          <w:top w:val="double" w:sz="6" w:space="0" w:color="6A7EB4" w:themeColor="accent6" w:themeTint="BF"/>
          <w:left w:val="single" w:sz="8" w:space="0" w:color="6A7EB4" w:themeColor="accent6" w:themeTint="BF"/>
          <w:bottom w:val="single" w:sz="8" w:space="0" w:color="6A7EB4" w:themeColor="accent6" w:themeTint="BF"/>
          <w:right w:val="single" w:sz="8" w:space="0" w:color="6A7E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D4E6" w:themeFill="accent6" w:themeFillTint="3F"/>
      </w:tcPr>
    </w:tblStylePr>
    <w:tblStylePr w:type="band1Horz">
      <w:tblPr/>
      <w:tcPr>
        <w:tcBorders>
          <w:insideH w:val="nil"/>
          <w:insideV w:val="nil"/>
        </w:tcBorders>
        <w:shd w:val="clear" w:color="auto" w:fill="CED4E6" w:themeFill="accent6"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257D0A"/>
    <w:pPr>
      <w:spacing w:after="0" w:line="240" w:lineRule="auto"/>
    </w:pPr>
    <w:tblPr>
      <w:tblStyleRowBandSize w:val="1"/>
      <w:tblStyleColBandSize w:val="1"/>
      <w:tblBorders>
        <w:top w:val="single" w:sz="8" w:space="0" w:color="FEB80A" w:themeColor="accent2"/>
        <w:left w:val="single" w:sz="8" w:space="0" w:color="FEB80A" w:themeColor="accent2"/>
        <w:bottom w:val="single" w:sz="8" w:space="0" w:color="FEB80A" w:themeColor="accent2"/>
        <w:right w:val="single" w:sz="8" w:space="0" w:color="FEB80A" w:themeColor="accent2"/>
      </w:tblBorders>
    </w:tblPr>
    <w:tblStylePr w:type="firstRow">
      <w:pPr>
        <w:spacing w:before="0" w:after="0" w:line="240" w:lineRule="auto"/>
      </w:pPr>
      <w:rPr>
        <w:b/>
        <w:bCs/>
        <w:color w:val="FFFFFF" w:themeColor="background1"/>
      </w:rPr>
      <w:tblPr/>
      <w:tcPr>
        <w:shd w:val="clear" w:color="auto" w:fill="FEB80A" w:themeFill="accent2"/>
      </w:tcPr>
    </w:tblStylePr>
    <w:tblStylePr w:type="lastRow">
      <w:pPr>
        <w:spacing w:before="0" w:after="0" w:line="240" w:lineRule="auto"/>
      </w:pPr>
      <w:rPr>
        <w:b/>
        <w:bCs/>
      </w:rPr>
      <w:tblPr/>
      <w:tcPr>
        <w:tcBorders>
          <w:top w:val="double" w:sz="6" w:space="0" w:color="FEB80A" w:themeColor="accent2"/>
          <w:left w:val="single" w:sz="8" w:space="0" w:color="FEB80A" w:themeColor="accent2"/>
          <w:bottom w:val="single" w:sz="8" w:space="0" w:color="FEB80A" w:themeColor="accent2"/>
          <w:right w:val="single" w:sz="8" w:space="0" w:color="FEB80A" w:themeColor="accent2"/>
        </w:tcBorders>
      </w:tcPr>
    </w:tblStylePr>
    <w:tblStylePr w:type="firstCol">
      <w:rPr>
        <w:b/>
        <w:bCs/>
      </w:rPr>
    </w:tblStylePr>
    <w:tblStylePr w:type="lastCol">
      <w:rPr>
        <w:b/>
        <w:bCs/>
      </w:rPr>
    </w:tblStylePr>
    <w:tblStylePr w:type="band1Vert">
      <w:tblPr/>
      <w:tcPr>
        <w:tcBorders>
          <w:top w:val="single" w:sz="8" w:space="0" w:color="FEB80A" w:themeColor="accent2"/>
          <w:left w:val="single" w:sz="8" w:space="0" w:color="FEB80A" w:themeColor="accent2"/>
          <w:bottom w:val="single" w:sz="8" w:space="0" w:color="FEB80A" w:themeColor="accent2"/>
          <w:right w:val="single" w:sz="8" w:space="0" w:color="FEB80A" w:themeColor="accent2"/>
        </w:tcBorders>
      </w:tcPr>
    </w:tblStylePr>
    <w:tblStylePr w:type="band1Horz">
      <w:tblPr/>
      <w:tcPr>
        <w:tcBorders>
          <w:top w:val="single" w:sz="8" w:space="0" w:color="FEB80A" w:themeColor="accent2"/>
          <w:left w:val="single" w:sz="8" w:space="0" w:color="FEB80A" w:themeColor="accent2"/>
          <w:bottom w:val="single" w:sz="8" w:space="0" w:color="FEB80A" w:themeColor="accent2"/>
          <w:right w:val="single" w:sz="8" w:space="0" w:color="FEB80A" w:themeColor="accent2"/>
        </w:tcBorders>
      </w:tcPr>
    </w:tblStylePr>
  </w:style>
  <w:style w:type="table" w:styleId="MediumShading2-Accent2">
    <w:name w:val="Medium Shading 2 Accent 2"/>
    <w:basedOn w:val="TableNormal"/>
    <w:uiPriority w:val="64"/>
    <w:rsid w:val="00571A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B8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B80A" w:themeFill="accent2"/>
      </w:tcPr>
    </w:tblStylePr>
    <w:tblStylePr w:type="lastCol">
      <w:rPr>
        <w:b/>
        <w:bCs/>
        <w:color w:val="FFFFFF" w:themeColor="background1"/>
      </w:rPr>
      <w:tblPr/>
      <w:tcPr>
        <w:tcBorders>
          <w:left w:val="nil"/>
          <w:right w:val="nil"/>
          <w:insideH w:val="nil"/>
          <w:insideV w:val="nil"/>
        </w:tcBorders>
        <w:shd w:val="clear" w:color="auto" w:fill="FEB8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9D7F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91A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91A7" w:themeFill="accent1"/>
      </w:tcPr>
    </w:tblStylePr>
    <w:tblStylePr w:type="lastCol">
      <w:rPr>
        <w:b/>
        <w:bCs/>
        <w:color w:val="FFFFFF" w:themeColor="background1"/>
      </w:rPr>
      <w:tblPr/>
      <w:tcPr>
        <w:tcBorders>
          <w:left w:val="nil"/>
          <w:right w:val="nil"/>
          <w:insideH w:val="nil"/>
          <w:insideV w:val="nil"/>
        </w:tcBorders>
        <w:shd w:val="clear" w:color="auto" w:fill="3891A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rsid w:val="009D7F0E"/>
    <w:pPr>
      <w:spacing w:after="0" w:line="240" w:lineRule="auto"/>
    </w:pPr>
    <w:rPr>
      <w:color w:val="354369" w:themeColor="accent6" w:themeShade="BF"/>
    </w:rPr>
    <w:tblPr>
      <w:tblStyleRowBandSize w:val="1"/>
      <w:tblStyleColBandSize w:val="1"/>
      <w:tblBorders>
        <w:top w:val="single" w:sz="8" w:space="0" w:color="475A8D" w:themeColor="accent6"/>
        <w:bottom w:val="single" w:sz="8" w:space="0" w:color="475A8D" w:themeColor="accent6"/>
      </w:tblBorders>
    </w:tblPr>
    <w:tblStylePr w:type="firstRow">
      <w:pPr>
        <w:spacing w:before="0" w:after="0" w:line="240" w:lineRule="auto"/>
      </w:pPr>
      <w:rPr>
        <w:b/>
        <w:bCs/>
      </w:rPr>
      <w:tblPr/>
      <w:tcPr>
        <w:tcBorders>
          <w:top w:val="single" w:sz="8" w:space="0" w:color="475A8D" w:themeColor="accent6"/>
          <w:left w:val="nil"/>
          <w:bottom w:val="single" w:sz="8" w:space="0" w:color="475A8D" w:themeColor="accent6"/>
          <w:right w:val="nil"/>
          <w:insideH w:val="nil"/>
          <w:insideV w:val="nil"/>
        </w:tcBorders>
      </w:tcPr>
    </w:tblStylePr>
    <w:tblStylePr w:type="lastRow">
      <w:pPr>
        <w:spacing w:before="0" w:after="0" w:line="240" w:lineRule="auto"/>
      </w:pPr>
      <w:rPr>
        <w:b/>
        <w:bCs/>
      </w:rPr>
      <w:tblPr/>
      <w:tcPr>
        <w:tcBorders>
          <w:top w:val="single" w:sz="8" w:space="0" w:color="475A8D" w:themeColor="accent6"/>
          <w:left w:val="nil"/>
          <w:bottom w:val="single" w:sz="8" w:space="0" w:color="475A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4E6" w:themeFill="accent6" w:themeFillTint="3F"/>
      </w:tcPr>
    </w:tblStylePr>
    <w:tblStylePr w:type="band1Horz">
      <w:tblPr/>
      <w:tcPr>
        <w:tcBorders>
          <w:left w:val="nil"/>
          <w:right w:val="nil"/>
          <w:insideH w:val="nil"/>
          <w:insideV w:val="nil"/>
        </w:tcBorders>
        <w:shd w:val="clear" w:color="auto" w:fill="CED4E6" w:themeFill="accent6" w:themeFillTint="3F"/>
      </w:tcPr>
    </w:tblStylePr>
  </w:style>
  <w:style w:type="table" w:styleId="MediumShading1-Accent2">
    <w:name w:val="Medium Shading 1 Accent 2"/>
    <w:basedOn w:val="TableNormal"/>
    <w:uiPriority w:val="63"/>
    <w:rsid w:val="007116DD"/>
    <w:pPr>
      <w:spacing w:after="0" w:line="240" w:lineRule="auto"/>
    </w:pPr>
    <w:tblPr>
      <w:tblStyleRowBandSize w:val="1"/>
      <w:tblStyleColBandSize w:val="1"/>
      <w:tblBorders>
        <w:top w:val="single" w:sz="8" w:space="0" w:color="FEC947" w:themeColor="accent2" w:themeTint="BF"/>
        <w:left w:val="single" w:sz="8" w:space="0" w:color="FEC947" w:themeColor="accent2" w:themeTint="BF"/>
        <w:bottom w:val="single" w:sz="8" w:space="0" w:color="FEC947" w:themeColor="accent2" w:themeTint="BF"/>
        <w:right w:val="single" w:sz="8" w:space="0" w:color="FEC947" w:themeColor="accent2" w:themeTint="BF"/>
        <w:insideH w:val="single" w:sz="8" w:space="0" w:color="FEC947" w:themeColor="accent2" w:themeTint="BF"/>
      </w:tblBorders>
    </w:tblPr>
    <w:tblStylePr w:type="firstRow">
      <w:pPr>
        <w:spacing w:before="0" w:after="0" w:line="240" w:lineRule="auto"/>
      </w:pPr>
      <w:rPr>
        <w:b/>
        <w:bCs/>
        <w:color w:val="FFFFFF" w:themeColor="background1"/>
      </w:rPr>
      <w:tblPr/>
      <w:tcPr>
        <w:tcBorders>
          <w:top w:val="single" w:sz="8" w:space="0" w:color="FEC947" w:themeColor="accent2" w:themeTint="BF"/>
          <w:left w:val="single" w:sz="8" w:space="0" w:color="FEC947" w:themeColor="accent2" w:themeTint="BF"/>
          <w:bottom w:val="single" w:sz="8" w:space="0" w:color="FEC947" w:themeColor="accent2" w:themeTint="BF"/>
          <w:right w:val="single" w:sz="8" w:space="0" w:color="FEC947" w:themeColor="accent2" w:themeTint="BF"/>
          <w:insideH w:val="nil"/>
          <w:insideV w:val="nil"/>
        </w:tcBorders>
        <w:shd w:val="clear" w:color="auto" w:fill="FEB80A" w:themeFill="accent2"/>
      </w:tcPr>
    </w:tblStylePr>
    <w:tblStylePr w:type="lastRow">
      <w:pPr>
        <w:spacing w:before="0" w:after="0" w:line="240" w:lineRule="auto"/>
      </w:pPr>
      <w:rPr>
        <w:b/>
        <w:bCs/>
      </w:rPr>
      <w:tblPr/>
      <w:tcPr>
        <w:tcBorders>
          <w:top w:val="double" w:sz="6" w:space="0" w:color="FEC947" w:themeColor="accent2" w:themeTint="BF"/>
          <w:left w:val="single" w:sz="8" w:space="0" w:color="FEC947" w:themeColor="accent2" w:themeTint="BF"/>
          <w:bottom w:val="single" w:sz="8" w:space="0" w:color="FEC947" w:themeColor="accent2" w:themeTint="BF"/>
          <w:right w:val="single" w:sz="8" w:space="0" w:color="FEC94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EDC2" w:themeFill="accent2" w:themeFillTint="3F"/>
      </w:tcPr>
    </w:tblStylePr>
    <w:tblStylePr w:type="band1Horz">
      <w:tblPr/>
      <w:tcPr>
        <w:tcBorders>
          <w:insideH w:val="nil"/>
          <w:insideV w:val="nil"/>
        </w:tcBorders>
        <w:shd w:val="clear" w:color="auto" w:fill="FEEDC2" w:themeFill="accent2"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4E79B8"/>
    <w:rPr>
      <w:sz w:val="16"/>
      <w:szCs w:val="16"/>
    </w:rPr>
  </w:style>
  <w:style w:type="paragraph" w:styleId="CommentText">
    <w:name w:val="annotation text"/>
    <w:basedOn w:val="Normal"/>
    <w:link w:val="CommentTextChar"/>
    <w:uiPriority w:val="99"/>
    <w:semiHidden/>
    <w:unhideWhenUsed/>
    <w:rsid w:val="004E79B8"/>
    <w:pPr>
      <w:spacing w:line="240" w:lineRule="auto"/>
    </w:pPr>
    <w:rPr>
      <w:sz w:val="20"/>
      <w:szCs w:val="20"/>
    </w:rPr>
  </w:style>
  <w:style w:type="character" w:customStyle="1" w:styleId="CommentTextChar">
    <w:name w:val="Comment Text Char"/>
    <w:basedOn w:val="DefaultParagraphFont"/>
    <w:link w:val="CommentText"/>
    <w:uiPriority w:val="99"/>
    <w:semiHidden/>
    <w:rsid w:val="004E79B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79B8"/>
    <w:rPr>
      <w:b/>
      <w:bCs/>
    </w:rPr>
  </w:style>
  <w:style w:type="character" w:customStyle="1" w:styleId="CommentSubjectChar">
    <w:name w:val="Comment Subject Char"/>
    <w:basedOn w:val="CommentTextChar"/>
    <w:link w:val="CommentSubject"/>
    <w:uiPriority w:val="99"/>
    <w:semiHidden/>
    <w:rsid w:val="004E79B8"/>
    <w:rPr>
      <w:rFonts w:ascii="Calibri" w:eastAsia="Times New Roman" w:hAnsi="Calibri" w:cs="Times New Roman"/>
      <w:b/>
      <w:bCs/>
      <w:sz w:val="20"/>
      <w:szCs w:val="20"/>
    </w:rPr>
  </w:style>
  <w:style w:type="paragraph" w:styleId="Revision">
    <w:name w:val="Revision"/>
    <w:hidden/>
    <w:uiPriority w:val="99"/>
    <w:semiHidden/>
    <w:rsid w:val="00911B3B"/>
    <w:pPr>
      <w:spacing w:after="0" w:line="240" w:lineRule="auto"/>
    </w:pPr>
    <w:rPr>
      <w:rFonts w:ascii="Calibri" w:eastAsia="Times New Roman" w:hAnsi="Calibri" w:cs="Times New Roman"/>
    </w:rPr>
  </w:style>
  <w:style w:type="table" w:styleId="MediumShading1-Accent5">
    <w:name w:val="Medium Shading 1 Accent 5"/>
    <w:basedOn w:val="TableNormal"/>
    <w:uiPriority w:val="63"/>
    <w:rsid w:val="00413103"/>
    <w:pPr>
      <w:spacing w:after="0" w:line="240" w:lineRule="auto"/>
    </w:pPr>
    <w:tblPr>
      <w:tblStyleRowBandSize w:val="1"/>
      <w:tblStyleColBandSize w:val="1"/>
      <w:tblBorders>
        <w:top w:val="single" w:sz="8" w:space="0" w:color="EC6908" w:themeColor="accent5" w:themeTint="BF"/>
        <w:left w:val="single" w:sz="8" w:space="0" w:color="EC6908" w:themeColor="accent5" w:themeTint="BF"/>
        <w:bottom w:val="single" w:sz="8" w:space="0" w:color="EC6908" w:themeColor="accent5" w:themeTint="BF"/>
        <w:right w:val="single" w:sz="8" w:space="0" w:color="EC6908" w:themeColor="accent5" w:themeTint="BF"/>
        <w:insideH w:val="single" w:sz="8" w:space="0" w:color="EC6908" w:themeColor="accent5" w:themeTint="BF"/>
      </w:tblBorders>
    </w:tblPr>
    <w:tblStylePr w:type="firstRow">
      <w:pPr>
        <w:spacing w:before="0" w:after="0" w:line="240" w:lineRule="auto"/>
      </w:pPr>
      <w:rPr>
        <w:b/>
        <w:bCs/>
        <w:color w:val="FFFFFF" w:themeColor="background1"/>
      </w:rPr>
      <w:tblPr/>
      <w:tcPr>
        <w:tcBorders>
          <w:top w:val="single" w:sz="8" w:space="0" w:color="EC6908" w:themeColor="accent5" w:themeTint="BF"/>
          <w:left w:val="single" w:sz="8" w:space="0" w:color="EC6908" w:themeColor="accent5" w:themeTint="BF"/>
          <w:bottom w:val="single" w:sz="8" w:space="0" w:color="EC6908" w:themeColor="accent5" w:themeTint="BF"/>
          <w:right w:val="single" w:sz="8" w:space="0" w:color="EC6908" w:themeColor="accent5" w:themeTint="BF"/>
          <w:insideH w:val="nil"/>
          <w:insideV w:val="nil"/>
        </w:tcBorders>
        <w:shd w:val="clear" w:color="auto" w:fill="964305" w:themeFill="accent5"/>
      </w:tcPr>
    </w:tblStylePr>
    <w:tblStylePr w:type="lastRow">
      <w:pPr>
        <w:spacing w:before="0" w:after="0" w:line="240" w:lineRule="auto"/>
      </w:pPr>
      <w:rPr>
        <w:b/>
        <w:bCs/>
      </w:rPr>
      <w:tblPr/>
      <w:tcPr>
        <w:tcBorders>
          <w:top w:val="double" w:sz="6" w:space="0" w:color="EC6908" w:themeColor="accent5" w:themeTint="BF"/>
          <w:left w:val="single" w:sz="8" w:space="0" w:color="EC6908" w:themeColor="accent5" w:themeTint="BF"/>
          <w:bottom w:val="single" w:sz="8" w:space="0" w:color="EC6908" w:themeColor="accent5" w:themeTint="BF"/>
          <w:right w:val="single" w:sz="8" w:space="0" w:color="EC690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CDA9" w:themeFill="accent5" w:themeFillTint="3F"/>
      </w:tcPr>
    </w:tblStylePr>
    <w:tblStylePr w:type="band1Horz">
      <w:tblPr/>
      <w:tcPr>
        <w:tcBorders>
          <w:insideH w:val="nil"/>
          <w:insideV w:val="nil"/>
        </w:tcBorders>
        <w:shd w:val="clear" w:color="auto" w:fill="FCCDA9"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0823DB"/>
    <w:pPr>
      <w:spacing w:after="0" w:line="240" w:lineRule="auto"/>
    </w:pPr>
    <w:tblPr>
      <w:tblStyleRowBandSize w:val="1"/>
      <w:tblStyleColBandSize w:val="1"/>
      <w:tblBorders>
        <w:top w:val="single" w:sz="8" w:space="0" w:color="964305" w:themeColor="accent5"/>
        <w:left w:val="single" w:sz="8" w:space="0" w:color="964305" w:themeColor="accent5"/>
        <w:bottom w:val="single" w:sz="8" w:space="0" w:color="964305" w:themeColor="accent5"/>
        <w:right w:val="single" w:sz="8" w:space="0" w:color="964305" w:themeColor="accent5"/>
        <w:insideH w:val="single" w:sz="8" w:space="0" w:color="964305" w:themeColor="accent5"/>
        <w:insideV w:val="single" w:sz="8" w:space="0" w:color="96430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4305" w:themeColor="accent5"/>
          <w:left w:val="single" w:sz="8" w:space="0" w:color="964305" w:themeColor="accent5"/>
          <w:bottom w:val="single" w:sz="18" w:space="0" w:color="964305" w:themeColor="accent5"/>
          <w:right w:val="single" w:sz="8" w:space="0" w:color="964305" w:themeColor="accent5"/>
          <w:insideH w:val="nil"/>
          <w:insideV w:val="single" w:sz="8" w:space="0" w:color="96430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4305" w:themeColor="accent5"/>
          <w:left w:val="single" w:sz="8" w:space="0" w:color="964305" w:themeColor="accent5"/>
          <w:bottom w:val="single" w:sz="8" w:space="0" w:color="964305" w:themeColor="accent5"/>
          <w:right w:val="single" w:sz="8" w:space="0" w:color="964305" w:themeColor="accent5"/>
          <w:insideH w:val="nil"/>
          <w:insideV w:val="single" w:sz="8" w:space="0" w:color="96430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4305" w:themeColor="accent5"/>
          <w:left w:val="single" w:sz="8" w:space="0" w:color="964305" w:themeColor="accent5"/>
          <w:bottom w:val="single" w:sz="8" w:space="0" w:color="964305" w:themeColor="accent5"/>
          <w:right w:val="single" w:sz="8" w:space="0" w:color="964305" w:themeColor="accent5"/>
        </w:tcBorders>
      </w:tcPr>
    </w:tblStylePr>
    <w:tblStylePr w:type="band1Vert">
      <w:tblPr/>
      <w:tcPr>
        <w:tcBorders>
          <w:top w:val="single" w:sz="8" w:space="0" w:color="964305" w:themeColor="accent5"/>
          <w:left w:val="single" w:sz="8" w:space="0" w:color="964305" w:themeColor="accent5"/>
          <w:bottom w:val="single" w:sz="8" w:space="0" w:color="964305" w:themeColor="accent5"/>
          <w:right w:val="single" w:sz="8" w:space="0" w:color="964305" w:themeColor="accent5"/>
        </w:tcBorders>
        <w:shd w:val="clear" w:color="auto" w:fill="FCCDA9" w:themeFill="accent5" w:themeFillTint="3F"/>
      </w:tcPr>
    </w:tblStylePr>
    <w:tblStylePr w:type="band1Horz">
      <w:tblPr/>
      <w:tcPr>
        <w:tcBorders>
          <w:top w:val="single" w:sz="8" w:space="0" w:color="964305" w:themeColor="accent5"/>
          <w:left w:val="single" w:sz="8" w:space="0" w:color="964305" w:themeColor="accent5"/>
          <w:bottom w:val="single" w:sz="8" w:space="0" w:color="964305" w:themeColor="accent5"/>
          <w:right w:val="single" w:sz="8" w:space="0" w:color="964305" w:themeColor="accent5"/>
          <w:insideV w:val="single" w:sz="8" w:space="0" w:color="964305" w:themeColor="accent5"/>
        </w:tcBorders>
        <w:shd w:val="clear" w:color="auto" w:fill="FCCDA9" w:themeFill="accent5" w:themeFillTint="3F"/>
      </w:tcPr>
    </w:tblStylePr>
    <w:tblStylePr w:type="band2Horz">
      <w:tblPr/>
      <w:tcPr>
        <w:tcBorders>
          <w:top w:val="single" w:sz="8" w:space="0" w:color="964305" w:themeColor="accent5"/>
          <w:left w:val="single" w:sz="8" w:space="0" w:color="964305" w:themeColor="accent5"/>
          <w:bottom w:val="single" w:sz="8" w:space="0" w:color="964305" w:themeColor="accent5"/>
          <w:right w:val="single" w:sz="8" w:space="0" w:color="964305" w:themeColor="accent5"/>
          <w:insideV w:val="single" w:sz="8" w:space="0" w:color="964305" w:themeColor="accent5"/>
        </w:tcBorders>
      </w:tcPr>
    </w:tblStylePr>
  </w:style>
  <w:style w:type="character" w:customStyle="1" w:styleId="caps">
    <w:name w:val="caps"/>
    <w:basedOn w:val="DefaultParagraphFont"/>
    <w:rsid w:val="00626978"/>
  </w:style>
  <w:style w:type="character" w:styleId="HTMLTypewriter">
    <w:name w:val="HTML Typewriter"/>
    <w:basedOn w:val="DefaultParagraphFont"/>
    <w:rsid w:val="0062697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030763"/>
    <w:rPr>
      <w:color w:val="AA8A14" w:themeColor="followedHyperlink"/>
      <w:u w:val="single"/>
    </w:rPr>
  </w:style>
  <w:style w:type="table" w:customStyle="1" w:styleId="PlainTable21">
    <w:name w:val="Plain Table 21"/>
    <w:basedOn w:val="TableNormal"/>
    <w:uiPriority w:val="42"/>
    <w:rsid w:val="00AB29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B29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AB29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AB29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61">
    <w:name w:val="List Table 3 - Accent 61"/>
    <w:basedOn w:val="TableNormal"/>
    <w:uiPriority w:val="48"/>
    <w:rsid w:val="00AB2933"/>
    <w:pPr>
      <w:spacing w:after="0" w:line="240" w:lineRule="auto"/>
    </w:pPr>
    <w:tblPr>
      <w:tblStyleRowBandSize w:val="1"/>
      <w:tblStyleColBandSize w:val="1"/>
      <w:tblBorders>
        <w:top w:val="single" w:sz="4" w:space="0" w:color="475A8D" w:themeColor="accent6"/>
        <w:left w:val="single" w:sz="4" w:space="0" w:color="475A8D" w:themeColor="accent6"/>
        <w:bottom w:val="single" w:sz="4" w:space="0" w:color="475A8D" w:themeColor="accent6"/>
        <w:right w:val="single" w:sz="4" w:space="0" w:color="475A8D" w:themeColor="accent6"/>
      </w:tblBorders>
    </w:tblPr>
    <w:tblStylePr w:type="firstRow">
      <w:rPr>
        <w:b/>
        <w:bCs/>
        <w:color w:val="FFFFFF" w:themeColor="background1"/>
      </w:rPr>
      <w:tblPr/>
      <w:tcPr>
        <w:shd w:val="clear" w:color="auto" w:fill="475A8D" w:themeFill="accent6"/>
      </w:tcPr>
    </w:tblStylePr>
    <w:tblStylePr w:type="lastRow">
      <w:rPr>
        <w:b/>
        <w:bCs/>
      </w:rPr>
      <w:tblPr/>
      <w:tcPr>
        <w:tcBorders>
          <w:top w:val="double" w:sz="4" w:space="0" w:color="475A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5A8D" w:themeColor="accent6"/>
          <w:right w:val="single" w:sz="4" w:space="0" w:color="475A8D" w:themeColor="accent6"/>
        </w:tcBorders>
      </w:tcPr>
    </w:tblStylePr>
    <w:tblStylePr w:type="band1Horz">
      <w:tblPr/>
      <w:tcPr>
        <w:tcBorders>
          <w:top w:val="single" w:sz="4" w:space="0" w:color="475A8D" w:themeColor="accent6"/>
          <w:bottom w:val="single" w:sz="4" w:space="0" w:color="475A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5A8D" w:themeColor="accent6"/>
          <w:left w:val="nil"/>
        </w:tcBorders>
      </w:tcPr>
    </w:tblStylePr>
    <w:tblStylePr w:type="swCell">
      <w:tblPr/>
      <w:tcPr>
        <w:tcBorders>
          <w:top w:val="double" w:sz="4" w:space="0" w:color="475A8D" w:themeColor="accent6"/>
          <w:right w:val="nil"/>
        </w:tcBorders>
      </w:tcPr>
    </w:tblStylePr>
  </w:style>
  <w:style w:type="table" w:customStyle="1" w:styleId="ListTable3-Accent31">
    <w:name w:val="List Table 3 - Accent 31"/>
    <w:basedOn w:val="TableNormal"/>
    <w:uiPriority w:val="48"/>
    <w:rsid w:val="00797A14"/>
    <w:pPr>
      <w:spacing w:after="0" w:line="240" w:lineRule="auto"/>
    </w:pPr>
    <w:tblPr>
      <w:tblStyleRowBandSize w:val="1"/>
      <w:tblStyleColBandSize w:val="1"/>
      <w:tblBorders>
        <w:top w:val="single" w:sz="4" w:space="0" w:color="C32D2E" w:themeColor="accent3"/>
        <w:left w:val="single" w:sz="4" w:space="0" w:color="C32D2E" w:themeColor="accent3"/>
        <w:bottom w:val="single" w:sz="4" w:space="0" w:color="C32D2E" w:themeColor="accent3"/>
        <w:right w:val="single" w:sz="4" w:space="0" w:color="C32D2E" w:themeColor="accent3"/>
      </w:tblBorders>
    </w:tblPr>
    <w:tblStylePr w:type="firstRow">
      <w:rPr>
        <w:b/>
        <w:bCs/>
        <w:color w:val="FFFFFF" w:themeColor="background1"/>
      </w:rPr>
      <w:tblPr/>
      <w:tcPr>
        <w:shd w:val="clear" w:color="auto" w:fill="C32D2E" w:themeFill="accent3"/>
      </w:tcPr>
    </w:tblStylePr>
    <w:tblStylePr w:type="lastRow">
      <w:rPr>
        <w:b/>
        <w:bCs/>
      </w:rPr>
      <w:tblPr/>
      <w:tcPr>
        <w:tcBorders>
          <w:top w:val="double" w:sz="4" w:space="0" w:color="C32D2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2D2E" w:themeColor="accent3"/>
          <w:right w:val="single" w:sz="4" w:space="0" w:color="C32D2E" w:themeColor="accent3"/>
        </w:tcBorders>
      </w:tcPr>
    </w:tblStylePr>
    <w:tblStylePr w:type="band1Horz">
      <w:tblPr/>
      <w:tcPr>
        <w:tcBorders>
          <w:top w:val="single" w:sz="4" w:space="0" w:color="C32D2E" w:themeColor="accent3"/>
          <w:bottom w:val="single" w:sz="4" w:space="0" w:color="C32D2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2D2E" w:themeColor="accent3"/>
          <w:left w:val="nil"/>
        </w:tcBorders>
      </w:tcPr>
    </w:tblStylePr>
    <w:tblStylePr w:type="swCell">
      <w:tblPr/>
      <w:tcPr>
        <w:tcBorders>
          <w:top w:val="double" w:sz="4" w:space="0" w:color="C32D2E" w:themeColor="accent3"/>
          <w:right w:val="nil"/>
        </w:tcBorders>
      </w:tcPr>
    </w:tblStylePr>
  </w:style>
  <w:style w:type="character" w:styleId="PlaceholderText">
    <w:name w:val="Placeholder Text"/>
    <w:basedOn w:val="DefaultParagraphFont"/>
    <w:uiPriority w:val="99"/>
    <w:semiHidden/>
    <w:rsid w:val="00ED0101"/>
    <w:rPr>
      <w:color w:val="808080"/>
    </w:rPr>
  </w:style>
  <w:style w:type="character" w:styleId="IntenseReference">
    <w:name w:val="Intense Reference"/>
    <w:basedOn w:val="DefaultParagraphFont"/>
    <w:uiPriority w:val="32"/>
    <w:qFormat/>
    <w:rsid w:val="001D4825"/>
    <w:rPr>
      <w:b/>
      <w:bCs/>
      <w:smallCaps/>
      <w:color w:val="3891A7" w:themeColor="accent1"/>
      <w:spacing w:val="5"/>
    </w:rPr>
  </w:style>
  <w:style w:type="character" w:customStyle="1" w:styleId="Heading1Char">
    <w:name w:val="Heading 1 Char"/>
    <w:basedOn w:val="DefaultParagraphFont"/>
    <w:link w:val="Heading1"/>
    <w:uiPriority w:val="9"/>
    <w:rsid w:val="00181B6D"/>
    <w:rPr>
      <w:rFonts w:asciiTheme="majorHAnsi" w:eastAsiaTheme="majorEastAsia" w:hAnsiTheme="majorHAnsi" w:cstheme="majorBidi"/>
      <w:color w:val="2A6C7D"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numbering" Target="numbering.xml"/><Relationship Id="rId21" Type="http://schemas.openxmlformats.org/officeDocument/2006/relationships/chart" Target="charts/chart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www.aicpa.org/interestareas/businessindustryandgovernment/resources/erm.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chart" Target="charts/chart13.xm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yperlink" Target="http://www.erm.ncsu.edu" TargetMode="External"/><Relationship Id="rId10" Type="http://schemas.openxmlformats.org/officeDocument/2006/relationships/image" Target="media/image3.jpeg"/><Relationship Id="rId19" Type="http://schemas.openxmlformats.org/officeDocument/2006/relationships/chart" Target="charts/chart8.xml"/><Relationship Id="rId31" Type="http://schemas.openxmlformats.org/officeDocument/2006/relationships/hyperlink" Target="mailto:erm_initiative@ncsu.edu"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hyperlink" Target="http://www.erm.ncsu.edu"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b="1">
                <a:solidFill>
                  <a:srgbClr val="0070C0"/>
                </a:solidFill>
                <a:latin typeface="Browallia New" panose="020B0604020202020204" pitchFamily="34" charset="-34"/>
                <a:cs typeface="Browallia New" panose="020B0604020202020204" pitchFamily="34" charset="-34"/>
              </a:rPr>
              <a:t>Volume &amp; Complexities of Risks Increasing "Mostly" or "Extensively"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328149300155521E-2"/>
          <c:y val="0.22840170781511046"/>
          <c:w val="0.94297563504406423"/>
          <c:h val="0.71317359230226163"/>
        </c:manualLayout>
      </c:layout>
      <c:barChart>
        <c:barDir val="col"/>
        <c:grouping val="clustered"/>
        <c:varyColors val="0"/>
        <c:ser>
          <c:idx val="0"/>
          <c:order val="0"/>
          <c:tx>
            <c:strRef>
              <c:f>Sheet1!$B$1</c:f>
              <c:strCache>
                <c:ptCount val="1"/>
                <c:pt idx="0">
                  <c:v>Volume &amp; Complexities of Risks Increasing "Mostly" or "Extensivel"</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invertIfNegative val="0"/>
          <c:dPt>
            <c:idx val="0"/>
            <c:invertIfNegative val="0"/>
            <c:bubble3D val="0"/>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extLst>
              <c:ext xmlns:c16="http://schemas.microsoft.com/office/drawing/2014/chart" uri="{C3380CC4-5D6E-409C-BE32-E72D297353CC}">
                <c16:uniqueId val="{00000001-12C0-4540-A48D-5EC6593972B5}"/>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0%</c:formatCode>
                <c:ptCount val="9"/>
                <c:pt idx="0">
                  <c:v>0.62000000000000011</c:v>
                </c:pt>
                <c:pt idx="1">
                  <c:v>0.64000000000000012</c:v>
                </c:pt>
                <c:pt idx="2">
                  <c:v>0.55000000000000004</c:v>
                </c:pt>
                <c:pt idx="3">
                  <c:v>0.62000000000000011</c:v>
                </c:pt>
                <c:pt idx="4">
                  <c:v>0.56999999999999995</c:v>
                </c:pt>
                <c:pt idx="5">
                  <c:v>0.59000000000000008</c:v>
                </c:pt>
                <c:pt idx="6">
                  <c:v>0.56999999999999995</c:v>
                </c:pt>
                <c:pt idx="7">
                  <c:v>0.58000000000000007</c:v>
                </c:pt>
                <c:pt idx="8">
                  <c:v>0.60000000000000009</c:v>
                </c:pt>
              </c:numCache>
            </c:numRef>
          </c:val>
          <c:extLst>
            <c:ext xmlns:c16="http://schemas.microsoft.com/office/drawing/2014/chart" uri="{C3380CC4-5D6E-409C-BE32-E72D297353CC}">
              <c16:uniqueId val="{00000000-C6DE-4702-8527-0D7F87B58B67}"/>
            </c:ext>
          </c:extLst>
        </c:ser>
        <c:dLbls>
          <c:showLegendKey val="0"/>
          <c:showVal val="1"/>
          <c:showCatName val="0"/>
          <c:showSerName val="0"/>
          <c:showPercent val="0"/>
          <c:showBubbleSize val="0"/>
        </c:dLbls>
        <c:gapWidth val="444"/>
        <c:overlap val="-90"/>
        <c:axId val="378622240"/>
        <c:axId val="378623808"/>
      </c:barChart>
      <c:catAx>
        <c:axId val="378622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8623808"/>
        <c:crosses val="autoZero"/>
        <c:auto val="1"/>
        <c:lblAlgn val="ctr"/>
        <c:lblOffset val="100"/>
        <c:noMultiLvlLbl val="0"/>
      </c:catAx>
      <c:valAx>
        <c:axId val="378623808"/>
        <c:scaling>
          <c:orientation val="minMax"/>
        </c:scaling>
        <c:delete val="1"/>
        <c:axPos val="l"/>
        <c:numFmt formatCode="0%" sourceLinked="1"/>
        <c:majorTickMark val="none"/>
        <c:minorTickMark val="none"/>
        <c:tickLblPos val="none"/>
        <c:crossAx val="378622240"/>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nSpc>
                <a:spcPct val="85000"/>
              </a:lnSpc>
              <a:defRPr sz="1600" b="1" i="0" u="none" strike="noStrike" kern="1200" cap="all" spc="120" normalizeH="0" baseline="0">
                <a:solidFill>
                  <a:schemeClr val="tx1">
                    <a:lumMod val="65000"/>
                    <a:lumOff val="35000"/>
                  </a:schemeClr>
                </a:solidFill>
                <a:latin typeface="+mn-lt"/>
                <a:ea typeface="+mn-ea"/>
                <a:cs typeface="+mn-cs"/>
              </a:defRPr>
            </a:pPr>
            <a:r>
              <a:rPr lang="en-US" sz="1400">
                <a:solidFill>
                  <a:srgbClr val="0070C0"/>
                </a:solidFill>
                <a:latin typeface="Browallia New" panose="020B0604020202020204" pitchFamily="34" charset="-34"/>
                <a:cs typeface="Browallia New" panose="020B0604020202020204" pitchFamily="34" charset="-34"/>
              </a:rPr>
              <a:t>Have a Management Level </a:t>
            </a:r>
          </a:p>
          <a:p>
            <a:pPr>
              <a:lnSpc>
                <a:spcPct val="85000"/>
              </a:lnSpc>
              <a:defRPr sz="1600" cap="all" spc="120" normalizeH="0">
                <a:solidFill>
                  <a:schemeClr val="tx1">
                    <a:lumMod val="65000"/>
                    <a:lumOff val="35000"/>
                  </a:schemeClr>
                </a:solidFill>
              </a:defRPr>
            </a:pPr>
            <a:r>
              <a:rPr lang="en-US" sz="1400">
                <a:solidFill>
                  <a:srgbClr val="0070C0"/>
                </a:solidFill>
                <a:latin typeface="Browallia New" panose="020B0604020202020204" pitchFamily="34" charset="-34"/>
                <a:cs typeface="Browallia New" panose="020B0604020202020204" pitchFamily="34" charset="-34"/>
              </a:rPr>
              <a:t>Risk Committee</a:t>
            </a:r>
          </a:p>
        </c:rich>
      </c:tx>
      <c:layout>
        <c:manualLayout>
          <c:xMode val="edge"/>
          <c:yMode val="edge"/>
          <c:x val="0.27832439549707511"/>
          <c:y val="5.7369371381768806E-2"/>
        </c:manualLayout>
      </c:layout>
      <c:overlay val="0"/>
      <c:spPr>
        <a:noFill/>
        <a:ln>
          <a:noFill/>
        </a:ln>
        <a:effectLst/>
      </c:spPr>
      <c:txPr>
        <a:bodyPr rot="0" spcFirstLastPara="1" vertOverflow="ellipsis" vert="horz" wrap="square" anchor="ctr" anchorCtr="1"/>
        <a:lstStyle/>
        <a:p>
          <a:pPr>
            <a:lnSpc>
              <a:spcPct val="85000"/>
            </a:lnSpc>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86731891071796"/>
          <c:y val="0.33333333333333298"/>
          <c:w val="0.6284837069784901"/>
          <c:h val="0.53555590976228085"/>
        </c:manualLayout>
      </c:layout>
      <c:barChart>
        <c:barDir val="col"/>
        <c:grouping val="clustered"/>
        <c:varyColors val="0"/>
        <c:ser>
          <c:idx val="0"/>
          <c:order val="0"/>
          <c:tx>
            <c:strRef>
              <c:f>Sheet1!$B$1</c:f>
              <c:strCache>
                <c:ptCount val="1"/>
                <c:pt idx="0">
                  <c:v>Percentage with a Management-Level Risk Committee</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invertIfNegative val="0"/>
          <c:dLbls>
            <c:dLbl>
              <c:idx val="1"/>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487-4C7F-81BE-557A15D92F27}"/>
                </c:ext>
              </c:extLst>
            </c:dLbl>
            <c:dLbl>
              <c:idx val="2"/>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487-4C7F-81BE-557A15D92F27}"/>
                </c:ext>
              </c:extLst>
            </c:dLbl>
            <c:dLbl>
              <c:idx val="3"/>
              <c:tx>
                <c:rich>
                  <a:bodyPr/>
                  <a:lstStyle/>
                  <a:p>
                    <a:r>
                      <a:rPr lang="en-US"/>
                      <a:t>49%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487-4C7F-81BE-557A15D92F27}"/>
                </c:ext>
              </c:extLst>
            </c:dLbl>
            <c:dLbl>
              <c:idx val="4"/>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487-4C7F-81BE-557A15D92F27}"/>
                </c:ext>
              </c:extLst>
            </c:dLbl>
            <c:dLbl>
              <c:idx val="5"/>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487-4C7F-81BE-557A15D92F27}"/>
                </c:ext>
              </c:extLst>
            </c:dLbl>
            <c:dLbl>
              <c:idx val="6"/>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487-4C7F-81BE-557A15D92F27}"/>
                </c:ext>
              </c:extLst>
            </c:dLbl>
            <c:spPr>
              <a:noFill/>
              <a:ln>
                <a:noFill/>
              </a:ln>
              <a:effectLst/>
            </c:spPr>
            <c:txPr>
              <a:bodyPr rot="-5400000" spcFirstLastPara="1" vertOverflow="clip" horzOverflow="clip"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0.00%</c:formatCode>
                <c:ptCount val="9"/>
                <c:pt idx="0" formatCode="0%">
                  <c:v>0.22</c:v>
                </c:pt>
                <c:pt idx="1">
                  <c:v>0.30000000000000004</c:v>
                </c:pt>
                <c:pt idx="2">
                  <c:v>0.35000000000000003</c:v>
                </c:pt>
                <c:pt idx="3">
                  <c:v>0.49000000000000005</c:v>
                </c:pt>
                <c:pt idx="4">
                  <c:v>0.43000000000000005</c:v>
                </c:pt>
                <c:pt idx="5">
                  <c:v>0.45</c:v>
                </c:pt>
                <c:pt idx="6">
                  <c:v>0.45</c:v>
                </c:pt>
                <c:pt idx="7" formatCode="0%">
                  <c:v>0.58000000000000007</c:v>
                </c:pt>
                <c:pt idx="8" formatCode="0%">
                  <c:v>0.59</c:v>
                </c:pt>
              </c:numCache>
            </c:numRef>
          </c:val>
          <c:extLst>
            <c:ext xmlns:c16="http://schemas.microsoft.com/office/drawing/2014/chart" uri="{C3380CC4-5D6E-409C-BE32-E72D297353CC}">
              <c16:uniqueId val="{00000006-D487-4C7F-81BE-557A15D92F27}"/>
            </c:ext>
          </c:extLst>
        </c:ser>
        <c:dLbls>
          <c:showLegendKey val="0"/>
          <c:showVal val="1"/>
          <c:showCatName val="0"/>
          <c:showSerName val="0"/>
          <c:showPercent val="0"/>
          <c:showBubbleSize val="0"/>
        </c:dLbls>
        <c:gapWidth val="444"/>
        <c:overlap val="-90"/>
        <c:axId val="380506512"/>
        <c:axId val="380506904"/>
      </c:barChart>
      <c:catAx>
        <c:axId val="38050651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0506904"/>
        <c:crosses val="autoZero"/>
        <c:auto val="1"/>
        <c:lblAlgn val="ctr"/>
        <c:lblOffset val="100"/>
        <c:noMultiLvlLbl val="0"/>
      </c:catAx>
      <c:valAx>
        <c:axId val="380506904"/>
        <c:scaling>
          <c:orientation val="minMax"/>
        </c:scaling>
        <c:delete val="1"/>
        <c:axPos val="l"/>
        <c:numFmt formatCode="0%" sourceLinked="1"/>
        <c:majorTickMark val="none"/>
        <c:minorTickMark val="none"/>
        <c:tickLblPos val="none"/>
        <c:crossAx val="380506512"/>
        <c:crosses val="autoZero"/>
        <c:crossBetween val="between"/>
      </c:valAx>
      <c:spPr>
        <a:noFill/>
        <a:ln>
          <a:noFill/>
        </a:ln>
        <a:effectLst/>
      </c:spPr>
    </c:plotArea>
    <c:plotVisOnly val="1"/>
    <c:dispBlanksAs val="gap"/>
    <c:showDLblsOverMax val="0"/>
  </c:chart>
  <c:spPr>
    <a:solidFill>
      <a:schemeClr val="lt1"/>
    </a:solidFill>
    <a:ln w="9525" cap="flat" cmpd="sng" algn="ctr">
      <a:noFill/>
      <a:prstDash val="solid"/>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solidFill>
                  <a:srgbClr val="0070C0"/>
                </a:solidFill>
                <a:latin typeface="Browallia New" panose="020B0604020202020204" pitchFamily="34" charset="-34"/>
                <a:cs typeface="Browallia New" panose="020B0604020202020204" pitchFamily="34" charset="-34"/>
              </a:rPr>
              <a:t>Percentage of Organizations with </a:t>
            </a:r>
          </a:p>
          <a:p>
            <a:pPr>
              <a:defRPr/>
            </a:pPr>
            <a:r>
              <a:rPr lang="en-US" sz="1200">
                <a:solidFill>
                  <a:srgbClr val="0070C0"/>
                </a:solidFill>
                <a:latin typeface="Browallia New" panose="020B0604020202020204" pitchFamily="34" charset="-34"/>
                <a:cs typeface="Browallia New" panose="020B0604020202020204" pitchFamily="34" charset="-34"/>
              </a:rPr>
              <a:t>Management-Level Risk Committees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2014</c:v>
                </c:pt>
              </c:strCache>
            </c:strRef>
          </c:tx>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0.45</c:v>
                </c:pt>
                <c:pt idx="1">
                  <c:v>0.68</c:v>
                </c:pt>
                <c:pt idx="2">
                  <c:v>0.70000000000000007</c:v>
                </c:pt>
                <c:pt idx="3">
                  <c:v>0.66000000000000014</c:v>
                </c:pt>
                <c:pt idx="4">
                  <c:v>0.33000000000000007</c:v>
                </c:pt>
              </c:numCache>
            </c:numRef>
          </c:val>
          <c:extLst>
            <c:ext xmlns:c16="http://schemas.microsoft.com/office/drawing/2014/chart" uri="{C3380CC4-5D6E-409C-BE32-E72D297353CC}">
              <c16:uniqueId val="{00000000-2D92-4249-9E87-FAFC2C19CA94}"/>
            </c:ext>
          </c:extLst>
        </c:ser>
        <c:ser>
          <c:idx val="2"/>
          <c:order val="1"/>
          <c:tx>
            <c:strRef>
              <c:f>Sheet1!$C$1</c:f>
              <c:strCache>
                <c:ptCount val="1"/>
                <c:pt idx="0">
                  <c:v>2015</c:v>
                </c:pt>
              </c:strCache>
            </c:strRef>
          </c:tx>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19050">
              <a:solidFill>
                <a:schemeClr val="accent4">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Sheet1!$C$2:$C$6</c:f>
              <c:numCache>
                <c:formatCode>0%</c:formatCode>
                <c:ptCount val="5"/>
                <c:pt idx="0">
                  <c:v>0.45</c:v>
                </c:pt>
                <c:pt idx="1">
                  <c:v>0.70000000000000007</c:v>
                </c:pt>
                <c:pt idx="2">
                  <c:v>0.69000000000000006</c:v>
                </c:pt>
                <c:pt idx="3">
                  <c:v>0.69000000000000006</c:v>
                </c:pt>
                <c:pt idx="4">
                  <c:v>0.38000000000000006</c:v>
                </c:pt>
              </c:numCache>
            </c:numRef>
          </c:val>
          <c:extLst>
            <c:ext xmlns:c16="http://schemas.microsoft.com/office/drawing/2014/chart" uri="{C3380CC4-5D6E-409C-BE32-E72D297353CC}">
              <c16:uniqueId val="{00000002-2D92-4249-9E87-FAFC2C19CA94}"/>
            </c:ext>
          </c:extLst>
        </c:ser>
        <c:ser>
          <c:idx val="1"/>
          <c:order val="2"/>
          <c:tx>
            <c:strRef>
              <c:f>Sheet1!$D$1</c:f>
              <c:strCache>
                <c:ptCount val="1"/>
                <c:pt idx="0">
                  <c:v>2016</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Sheet1!$D$2:$D$6</c:f>
              <c:numCache>
                <c:formatCode>0%</c:formatCode>
                <c:ptCount val="5"/>
                <c:pt idx="0">
                  <c:v>0.58000000000000007</c:v>
                </c:pt>
                <c:pt idx="1">
                  <c:v>0.8</c:v>
                </c:pt>
                <c:pt idx="2">
                  <c:v>0.83000000000000007</c:v>
                </c:pt>
                <c:pt idx="3">
                  <c:v>0.79</c:v>
                </c:pt>
                <c:pt idx="4">
                  <c:v>0.53</c:v>
                </c:pt>
              </c:numCache>
            </c:numRef>
          </c:val>
          <c:extLst>
            <c:ext xmlns:c16="http://schemas.microsoft.com/office/drawing/2014/chart" uri="{C3380CC4-5D6E-409C-BE32-E72D297353CC}">
              <c16:uniqueId val="{00000001-2D92-4249-9E87-FAFC2C19CA94}"/>
            </c:ext>
          </c:extLst>
        </c:ser>
        <c:ser>
          <c:idx val="3"/>
          <c:order val="3"/>
          <c:tx>
            <c:strRef>
              <c:f>Sheet1!$E$1</c:f>
              <c:strCache>
                <c:ptCount val="1"/>
                <c:pt idx="0">
                  <c:v>2017</c:v>
                </c:pt>
              </c:strCache>
            </c:strRef>
          </c:tx>
          <c:spPr>
            <a:gradFill flip="none" rotWithShape="1">
              <a:gsLst>
                <a:gs pos="0">
                  <a:schemeClr val="accent4">
                    <a:lumMod val="75000"/>
                    <a:tint val="66000"/>
                    <a:satMod val="160000"/>
                  </a:schemeClr>
                </a:gs>
                <a:gs pos="50000">
                  <a:schemeClr val="accent4">
                    <a:lumMod val="75000"/>
                    <a:tint val="44500"/>
                    <a:satMod val="160000"/>
                  </a:schemeClr>
                </a:gs>
                <a:gs pos="100000">
                  <a:schemeClr val="accent4">
                    <a:lumMod val="75000"/>
                    <a:tint val="23500"/>
                    <a:satMod val="160000"/>
                  </a:schemeClr>
                </a:gs>
              </a:gsLst>
              <a:path path="circle">
                <a:fillToRect l="50000" t="50000" r="50000" b="50000"/>
              </a:path>
              <a:tileRect/>
            </a:gradFill>
            <a:ln w="19050">
              <a:solidFill>
                <a:srgbClr val="7030A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Sheet1!$E$2:$E$6</c:f>
              <c:numCache>
                <c:formatCode>0%</c:formatCode>
                <c:ptCount val="5"/>
                <c:pt idx="0">
                  <c:v>0.59</c:v>
                </c:pt>
                <c:pt idx="1">
                  <c:v>0.82000000000000006</c:v>
                </c:pt>
                <c:pt idx="2">
                  <c:v>0.83000000000000007</c:v>
                </c:pt>
                <c:pt idx="3">
                  <c:v>0.8</c:v>
                </c:pt>
                <c:pt idx="4">
                  <c:v>0.5</c:v>
                </c:pt>
              </c:numCache>
            </c:numRef>
          </c:val>
          <c:extLst>
            <c:ext xmlns:c16="http://schemas.microsoft.com/office/drawing/2014/chart" uri="{C3380CC4-5D6E-409C-BE32-E72D297353CC}">
              <c16:uniqueId val="{00000000-FC4D-45B3-9CA0-7BE06A69BE0E}"/>
            </c:ext>
          </c:extLst>
        </c:ser>
        <c:dLbls>
          <c:showLegendKey val="0"/>
          <c:showVal val="1"/>
          <c:showCatName val="0"/>
          <c:showSerName val="0"/>
          <c:showPercent val="0"/>
          <c:showBubbleSize val="0"/>
        </c:dLbls>
        <c:gapWidth val="444"/>
        <c:overlap val="-90"/>
        <c:axId val="409373080"/>
        <c:axId val="409372688"/>
      </c:barChart>
      <c:catAx>
        <c:axId val="409373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9372688"/>
        <c:crosses val="autoZero"/>
        <c:auto val="1"/>
        <c:lblAlgn val="ctr"/>
        <c:lblOffset val="100"/>
        <c:noMultiLvlLbl val="0"/>
      </c:catAx>
      <c:valAx>
        <c:axId val="409372688"/>
        <c:scaling>
          <c:orientation val="minMax"/>
        </c:scaling>
        <c:delete val="1"/>
        <c:axPos val="l"/>
        <c:numFmt formatCode="0%" sourceLinked="1"/>
        <c:majorTickMark val="none"/>
        <c:minorTickMark val="none"/>
        <c:tickLblPos val="none"/>
        <c:crossAx val="409373080"/>
        <c:crosses val="autoZero"/>
        <c:crossBetween val="between"/>
      </c:valAx>
      <c:spPr>
        <a:noFill/>
        <a:ln>
          <a:noFill/>
        </a:ln>
        <a:effectLst/>
      </c:spPr>
    </c:plotArea>
    <c:legend>
      <c:legendPos val="t"/>
      <c:layout>
        <c:manualLayout>
          <c:xMode val="edge"/>
          <c:yMode val="edge"/>
          <c:x val="0.18576261300670749"/>
          <c:y val="0.16263490882024564"/>
          <c:w val="0.56828958880139968"/>
          <c:h val="6.07951964694402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b="1">
                <a:solidFill>
                  <a:srgbClr val="0070C0"/>
                </a:solidFill>
                <a:latin typeface="Browallia New" panose="020B0604020202020204" pitchFamily="34" charset="-34"/>
                <a:cs typeface="Browallia New" panose="020B0604020202020204" pitchFamily="34" charset="-34"/>
              </a:rPr>
              <a:t>Percentage Who Believe Risk Management "Mostly" or "Extensively" Provides Strategic Advantage</a:t>
            </a:r>
          </a:p>
        </c:rich>
      </c:tx>
      <c:layout>
        <c:manualLayout>
          <c:xMode val="edge"/>
          <c:yMode val="edge"/>
          <c:x val="0.13930555555555552"/>
          <c:y val="2.3809523809523812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Who Believe Risk Management "Mostly" or "Extensively" Provides Strategic Advantage</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a:effectLst/>
          </c:spPr>
          <c:invertIfNegative val="0"/>
          <c:dPt>
            <c:idx val="0"/>
            <c:invertIfNegative val="0"/>
            <c:bubble3D val="0"/>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extLst>
              <c:ext xmlns:c16="http://schemas.microsoft.com/office/drawing/2014/chart" uri="{C3380CC4-5D6E-409C-BE32-E72D297353CC}">
                <c16:uniqueId val="{00000001-CFAE-42E2-ACCA-8271C1C89D9A}"/>
              </c:ext>
            </c:extLst>
          </c:dPt>
          <c:dPt>
            <c:idx val="1"/>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28575">
                <a:solidFill>
                  <a:schemeClr val="accent2">
                    <a:lumMod val="75000"/>
                  </a:schemeClr>
                </a:solidFill>
              </a:ln>
              <a:effectLst/>
            </c:spPr>
            <c:extLst>
              <c:ext xmlns:c16="http://schemas.microsoft.com/office/drawing/2014/chart" uri="{C3380CC4-5D6E-409C-BE32-E72D297353CC}">
                <c16:uniqueId val="{00000001-D552-E844-9793-AAD016F5D263}"/>
              </c:ext>
            </c:extLst>
          </c:dPt>
          <c:dPt>
            <c:idx val="2"/>
            <c:invertIfNegative val="0"/>
            <c:bubble3D val="0"/>
            <c:spPr>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50000" t="50000" r="50000" b="50000"/>
                </a:path>
                <a:tileRect/>
              </a:gradFill>
              <a:ln w="28575">
                <a:solidFill>
                  <a:srgbClr val="002060"/>
                </a:solidFill>
              </a:ln>
              <a:effectLst/>
            </c:spPr>
            <c:extLst>
              <c:ext xmlns:c16="http://schemas.microsoft.com/office/drawing/2014/chart" uri="{C3380CC4-5D6E-409C-BE32-E72D297353CC}">
                <c16:uniqueId val="{00000003-D552-E844-9793-AAD016F5D263}"/>
              </c:ext>
            </c:extLst>
          </c:dPt>
          <c:dPt>
            <c:idx val="3"/>
            <c:invertIfNegative val="0"/>
            <c:bubble3D val="0"/>
            <c:spPr>
              <a:gradFill flip="none" rotWithShape="1">
                <a:gsLst>
                  <a:gs pos="0">
                    <a:srgbClr val="002060">
                      <a:tint val="66000"/>
                      <a:satMod val="160000"/>
                    </a:srgbClr>
                  </a:gs>
                  <a:gs pos="50000">
                    <a:srgbClr val="002060">
                      <a:tint val="44500"/>
                      <a:satMod val="160000"/>
                    </a:srgbClr>
                  </a:gs>
                  <a:gs pos="100000">
                    <a:srgbClr val="002060">
                      <a:tint val="23500"/>
                      <a:satMod val="160000"/>
                    </a:srgbClr>
                  </a:gs>
                </a:gsLst>
                <a:path path="circle">
                  <a:fillToRect l="50000" t="50000" r="50000" b="50000"/>
                </a:path>
                <a:tileRect/>
              </a:gradFill>
              <a:ln w="28575">
                <a:solidFill>
                  <a:srgbClr val="C00000"/>
                </a:solidFill>
              </a:ln>
              <a:effectLst/>
            </c:spPr>
            <c:extLst>
              <c:ext xmlns:c16="http://schemas.microsoft.com/office/drawing/2014/chart" uri="{C3380CC4-5D6E-409C-BE32-E72D297353CC}">
                <c16:uniqueId val="{00000005-D552-E844-9793-AAD016F5D263}"/>
              </c:ext>
            </c:extLst>
          </c:dPt>
          <c:dPt>
            <c:idx val="4"/>
            <c:invertIfNegative val="0"/>
            <c:bubble3D val="0"/>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28575">
                <a:solidFill>
                  <a:schemeClr val="accent4">
                    <a:lumMod val="75000"/>
                  </a:schemeClr>
                </a:solidFill>
              </a:ln>
              <a:effectLst/>
            </c:spPr>
            <c:extLst>
              <c:ext xmlns:c16="http://schemas.microsoft.com/office/drawing/2014/chart" uri="{C3380CC4-5D6E-409C-BE32-E72D297353CC}">
                <c16:uniqueId val="{00000007-D552-E844-9793-AAD016F5D263}"/>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0.19</c:v>
                </c:pt>
                <c:pt idx="1">
                  <c:v>0.2</c:v>
                </c:pt>
                <c:pt idx="2">
                  <c:v>0.28000000000000008</c:v>
                </c:pt>
                <c:pt idx="3">
                  <c:v>0.27</c:v>
                </c:pt>
                <c:pt idx="4">
                  <c:v>0.17</c:v>
                </c:pt>
              </c:numCache>
            </c:numRef>
          </c:val>
          <c:extLst>
            <c:ext xmlns:c16="http://schemas.microsoft.com/office/drawing/2014/chart" uri="{C3380CC4-5D6E-409C-BE32-E72D297353CC}">
              <c16:uniqueId val="{00000008-D552-E844-9793-AAD016F5D263}"/>
            </c:ext>
          </c:extLst>
        </c:ser>
        <c:dLbls>
          <c:showLegendKey val="0"/>
          <c:showVal val="1"/>
          <c:showCatName val="0"/>
          <c:showSerName val="0"/>
          <c:showPercent val="0"/>
          <c:showBubbleSize val="0"/>
        </c:dLbls>
        <c:gapWidth val="444"/>
        <c:overlap val="-90"/>
        <c:axId val="391881464"/>
        <c:axId val="73638872"/>
      </c:barChart>
      <c:catAx>
        <c:axId val="391881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3638872"/>
        <c:crosses val="autoZero"/>
        <c:auto val="1"/>
        <c:lblAlgn val="ctr"/>
        <c:lblOffset val="100"/>
        <c:noMultiLvlLbl val="0"/>
      </c:catAx>
      <c:valAx>
        <c:axId val="73638872"/>
        <c:scaling>
          <c:orientation val="minMax"/>
        </c:scaling>
        <c:delete val="1"/>
        <c:axPos val="l"/>
        <c:numFmt formatCode="0%" sourceLinked="1"/>
        <c:majorTickMark val="none"/>
        <c:minorTickMark val="none"/>
        <c:tickLblPos val="none"/>
        <c:crossAx val="391881464"/>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a:solidFill>
                  <a:srgbClr val="0070C0"/>
                </a:solidFill>
                <a:latin typeface="Browallia New" panose="020B0604020202020204" pitchFamily="34" charset="-34"/>
                <a:cs typeface="Browallia New" panose="020B0604020202020204" pitchFamily="34" charset="-34"/>
              </a:rPr>
              <a:t>Maintain Risk Inventories at </a:t>
            </a:r>
          </a:p>
          <a:p>
            <a:pPr>
              <a:defRPr sz="1600" cap="all" spc="120" normalizeH="0">
                <a:solidFill>
                  <a:schemeClr val="tx1">
                    <a:lumMod val="65000"/>
                    <a:lumOff val="35000"/>
                  </a:schemeClr>
                </a:solidFill>
              </a:defRPr>
            </a:pPr>
            <a:r>
              <a:rPr lang="en-US" sz="1400">
                <a:solidFill>
                  <a:srgbClr val="0070C0"/>
                </a:solidFill>
                <a:latin typeface="Browallia New" panose="020B0604020202020204" pitchFamily="34" charset="-34"/>
                <a:cs typeface="Browallia New" panose="020B0604020202020204" pitchFamily="34" charset="-34"/>
              </a:rPr>
              <a:t>Enterprise Level</a:t>
            </a:r>
          </a:p>
        </c:rich>
      </c:tx>
      <c:layout>
        <c:manualLayout>
          <c:xMode val="edge"/>
          <c:yMode val="edge"/>
          <c:x val="0.2588704318936878"/>
          <c:y val="0"/>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86731891071796"/>
          <c:y val="0.33333333333333298"/>
          <c:w val="0.6284837069784901"/>
          <c:h val="0.53555590976228185"/>
        </c:manualLayout>
      </c:layout>
      <c:barChart>
        <c:barDir val="col"/>
        <c:grouping val="clustered"/>
        <c:varyColors val="0"/>
        <c:ser>
          <c:idx val="0"/>
          <c:order val="0"/>
          <c:tx>
            <c:strRef>
              <c:f>Sheet1!$B$1</c:f>
              <c:strCache>
                <c:ptCount val="1"/>
                <c:pt idx="0">
                  <c:v>Maintain  Risk Inventories at Enterprise Level</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dLbl>
              <c:idx val="0"/>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4BB-4DCE-AEA0-7B9D1AD5AA1F}"/>
                </c:ext>
              </c:extLst>
            </c:dLbl>
            <c:dLbl>
              <c:idx val="1"/>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4BB-4DCE-AEA0-7B9D1AD5AA1F}"/>
                </c:ext>
              </c:extLst>
            </c:dLbl>
            <c:dLbl>
              <c:idx val="2"/>
              <c:tx>
                <c:rich>
                  <a:bodyPr/>
                  <a:lstStyle/>
                  <a:p>
                    <a:r>
                      <a:rPr lang="en-US"/>
                      <a:t>27%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4BB-4DCE-AEA0-7B9D1AD5AA1F}"/>
                </c:ext>
              </c:extLst>
            </c:dLbl>
            <c:dLbl>
              <c:idx val="3"/>
              <c:tx>
                <c:rich>
                  <a:bodyPr/>
                  <a:lstStyle/>
                  <a:p>
                    <a:r>
                      <a:rPr lang="en-US"/>
                      <a:t>38%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4BB-4DCE-AEA0-7B9D1AD5AA1F}"/>
                </c:ext>
              </c:extLst>
            </c:dLbl>
            <c:dLbl>
              <c:idx val="4"/>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4BB-4DCE-AEA0-7B9D1AD5AA1F}"/>
                </c:ext>
              </c:extLst>
            </c:dLbl>
            <c:dLbl>
              <c:idx val="5"/>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4BB-4DCE-AEA0-7B9D1AD5AA1F}"/>
                </c:ext>
              </c:extLst>
            </c:dLbl>
            <c:dLbl>
              <c:idx val="6"/>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4BB-4DCE-AEA0-7B9D1AD5AA1F}"/>
                </c:ext>
              </c:extLst>
            </c:dLbl>
            <c:spPr>
              <a:noFill/>
              <a:ln>
                <a:noFill/>
              </a:ln>
              <a:effectLst/>
            </c:spPr>
            <c:txPr>
              <a:bodyPr rot="-5400000" spcFirstLastPara="1" vertOverflow="clip" horzOverflow="clip"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0.00%</c:formatCode>
                <c:ptCount val="9"/>
                <c:pt idx="0">
                  <c:v>0.2</c:v>
                </c:pt>
                <c:pt idx="1">
                  <c:v>0.22</c:v>
                </c:pt>
                <c:pt idx="2">
                  <c:v>0.27</c:v>
                </c:pt>
                <c:pt idx="3">
                  <c:v>0.38000000000000006</c:v>
                </c:pt>
                <c:pt idx="4">
                  <c:v>0.37000000000000005</c:v>
                </c:pt>
                <c:pt idx="5">
                  <c:v>0.33000000000000007</c:v>
                </c:pt>
                <c:pt idx="6">
                  <c:v>0.36000000000000004</c:v>
                </c:pt>
                <c:pt idx="7" formatCode="0%">
                  <c:v>0.44</c:v>
                </c:pt>
                <c:pt idx="8" formatCode="0%">
                  <c:v>0.43000000000000005</c:v>
                </c:pt>
              </c:numCache>
            </c:numRef>
          </c:val>
          <c:extLst>
            <c:ext xmlns:c16="http://schemas.microsoft.com/office/drawing/2014/chart" uri="{C3380CC4-5D6E-409C-BE32-E72D297353CC}">
              <c16:uniqueId val="{00000007-64BB-4DCE-AEA0-7B9D1AD5AA1F}"/>
            </c:ext>
          </c:extLst>
        </c:ser>
        <c:dLbls>
          <c:showLegendKey val="0"/>
          <c:showVal val="1"/>
          <c:showCatName val="0"/>
          <c:showSerName val="0"/>
          <c:showPercent val="0"/>
          <c:showBubbleSize val="0"/>
        </c:dLbls>
        <c:gapWidth val="444"/>
        <c:overlap val="-90"/>
        <c:axId val="391851440"/>
        <c:axId val="378913448"/>
      </c:barChart>
      <c:catAx>
        <c:axId val="39185144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8913448"/>
        <c:crosses val="autoZero"/>
        <c:auto val="1"/>
        <c:lblAlgn val="ctr"/>
        <c:lblOffset val="100"/>
        <c:noMultiLvlLbl val="0"/>
      </c:catAx>
      <c:valAx>
        <c:axId val="378913448"/>
        <c:scaling>
          <c:orientation val="minMax"/>
        </c:scaling>
        <c:delete val="1"/>
        <c:axPos val="l"/>
        <c:numFmt formatCode="0.00%" sourceLinked="1"/>
        <c:majorTickMark val="none"/>
        <c:minorTickMark val="none"/>
        <c:tickLblPos val="none"/>
        <c:crossAx val="391851440"/>
        <c:crosses val="autoZero"/>
        <c:crossBetween val="between"/>
      </c:valAx>
      <c:spPr>
        <a:noFill/>
        <a:ln>
          <a:noFill/>
        </a:ln>
        <a:effectLst/>
      </c:spPr>
    </c:plotArea>
    <c:plotVisOnly val="1"/>
    <c:dispBlanksAs val="gap"/>
    <c:showDLblsOverMax val="0"/>
  </c:chart>
  <c:spPr>
    <a:solidFill>
      <a:schemeClr val="lt1"/>
    </a:solidFill>
    <a:ln w="9525" cap="flat" cmpd="sng" algn="ctr">
      <a:noFill/>
      <a:prstDash val="solid"/>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b="1">
                <a:solidFill>
                  <a:srgbClr val="0070C0"/>
                </a:solidFill>
                <a:latin typeface="Browallia New" panose="020B0604020202020204" pitchFamily="34" charset="-34"/>
                <a:cs typeface="Browallia New" panose="020B0604020202020204" pitchFamily="34" charset="-34"/>
              </a:rPr>
              <a:t>Provide Formal Report to Board Describing Top Risk Exposures at Least Annually</a:t>
            </a:r>
          </a:p>
        </c:rich>
      </c:tx>
      <c:layout>
        <c:manualLayout>
          <c:xMode val="edge"/>
          <c:yMode val="edge"/>
          <c:x val="0.12550047523129401"/>
          <c:y val="4.318497421864851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86731891071796"/>
          <c:y val="0.33333333333333298"/>
          <c:w val="0.6284837069784901"/>
          <c:h val="0.53555590976228185"/>
        </c:manualLayout>
      </c:layout>
      <c:barChart>
        <c:barDir val="col"/>
        <c:grouping val="clustered"/>
        <c:varyColors val="0"/>
        <c:ser>
          <c:idx val="0"/>
          <c:order val="0"/>
          <c:tx>
            <c:strRef>
              <c:f>Sheet1!$B$1</c:f>
              <c:strCache>
                <c:ptCount val="1"/>
                <c:pt idx="0">
                  <c:v>Percentage Formally Reporting Top Risk Exposures to Board</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dLbl>
              <c:idx val="0"/>
              <c:tx>
                <c:rich>
                  <a:bodyPr/>
                  <a:lstStyle/>
                  <a:p>
                    <a:r>
                      <a:rPr lang="en-US"/>
                      <a:t>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6F8-4D3A-A43B-A854C5EC61C6}"/>
                </c:ext>
              </c:extLst>
            </c:dLbl>
            <c:dLbl>
              <c:idx val="1"/>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6F8-4D3A-A43B-A854C5EC61C6}"/>
                </c:ext>
              </c:extLst>
            </c:dLbl>
            <c:dLbl>
              <c:idx val="2"/>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6F8-4D3A-A43B-A854C5EC61C6}"/>
                </c:ext>
              </c:extLst>
            </c:dLbl>
            <c:dLbl>
              <c:idx val="3"/>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6F8-4D3A-A43B-A854C5EC61C6}"/>
                </c:ext>
              </c:extLst>
            </c:dLbl>
            <c:dLbl>
              <c:idx val="4"/>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6F8-4D3A-A43B-A854C5EC61C6}"/>
                </c:ext>
              </c:extLst>
            </c:dLbl>
            <c:dLbl>
              <c:idx val="5"/>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6F8-4D3A-A43B-A854C5EC61C6}"/>
                </c:ext>
              </c:extLst>
            </c:dLbl>
            <c:dLbl>
              <c:idx val="6"/>
              <c:tx>
                <c:rich>
                  <a:bodyPr/>
                  <a:lstStyle/>
                  <a:p>
                    <a:r>
                      <a:rPr lang="en-US"/>
                      <a:t>51%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6F8-4D3A-A43B-A854C5EC61C6}"/>
                </c:ext>
              </c:extLst>
            </c:dLbl>
            <c:spPr>
              <a:noFill/>
              <a:ln>
                <a:noFill/>
              </a:ln>
              <a:effectLst/>
            </c:spPr>
            <c:txPr>
              <a:bodyPr rot="-5400000" spcFirstLastPara="1" vertOverflow="clip" horzOverflow="clip"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0.00%</c:formatCode>
                <c:ptCount val="9"/>
                <c:pt idx="0">
                  <c:v>0.26</c:v>
                </c:pt>
                <c:pt idx="1">
                  <c:v>0.32000000000000006</c:v>
                </c:pt>
                <c:pt idx="2">
                  <c:v>0.4</c:v>
                </c:pt>
                <c:pt idx="3">
                  <c:v>0.5</c:v>
                </c:pt>
                <c:pt idx="4">
                  <c:v>0.48000000000000004</c:v>
                </c:pt>
                <c:pt idx="5">
                  <c:v>0.5</c:v>
                </c:pt>
                <c:pt idx="6">
                  <c:v>0.51</c:v>
                </c:pt>
                <c:pt idx="7" formatCode="0%">
                  <c:v>0.6100000000000001</c:v>
                </c:pt>
                <c:pt idx="8" formatCode="0%">
                  <c:v>0.59</c:v>
                </c:pt>
              </c:numCache>
            </c:numRef>
          </c:val>
          <c:extLst>
            <c:ext xmlns:c16="http://schemas.microsoft.com/office/drawing/2014/chart" uri="{C3380CC4-5D6E-409C-BE32-E72D297353CC}">
              <c16:uniqueId val="{00000007-E6F8-4D3A-A43B-A854C5EC61C6}"/>
            </c:ext>
          </c:extLst>
        </c:ser>
        <c:dLbls>
          <c:showLegendKey val="0"/>
          <c:showVal val="1"/>
          <c:showCatName val="0"/>
          <c:showSerName val="0"/>
          <c:showPercent val="0"/>
          <c:showBubbleSize val="0"/>
        </c:dLbls>
        <c:gapWidth val="444"/>
        <c:overlap val="-90"/>
        <c:axId val="407576888"/>
        <c:axId val="408036944"/>
      </c:barChart>
      <c:catAx>
        <c:axId val="40757688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8036944"/>
        <c:crosses val="autoZero"/>
        <c:auto val="1"/>
        <c:lblAlgn val="ctr"/>
        <c:lblOffset val="100"/>
        <c:noMultiLvlLbl val="0"/>
      </c:catAx>
      <c:valAx>
        <c:axId val="408036944"/>
        <c:scaling>
          <c:orientation val="minMax"/>
        </c:scaling>
        <c:delete val="1"/>
        <c:axPos val="l"/>
        <c:numFmt formatCode="0.00%" sourceLinked="1"/>
        <c:majorTickMark val="none"/>
        <c:minorTickMark val="none"/>
        <c:tickLblPos val="none"/>
        <c:crossAx val="407576888"/>
        <c:crosses val="autoZero"/>
        <c:crossBetween val="between"/>
      </c:valAx>
      <c:spPr>
        <a:noFill/>
        <a:ln>
          <a:noFill/>
        </a:ln>
        <a:effectLst/>
      </c:spPr>
    </c:plotArea>
    <c:plotVisOnly val="1"/>
    <c:dispBlanksAs val="gap"/>
    <c:showDLblsOverMax val="0"/>
  </c:chart>
  <c:spPr>
    <a:solidFill>
      <a:schemeClr val="lt1"/>
    </a:solidFill>
    <a:ln w="9525" cap="flat" cmpd="sng" algn="ctr">
      <a:noFill/>
      <a:prstDash val="solid"/>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solidFill>
                  <a:srgbClr val="0070C0"/>
                </a:solidFill>
                <a:latin typeface="Browallia New" panose="020B0604020202020204" pitchFamily="34" charset="-34"/>
                <a:cs typeface="Browallia New" panose="020B0604020202020204" pitchFamily="34" charset="-34"/>
              </a:rPr>
              <a:t>Percentage of Organizations Formally Reporting Top Risk Exposures to Board at Least Annually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2014</c:v>
                </c:pt>
              </c:strCache>
            </c:strRef>
          </c:tx>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0.5</c:v>
                </c:pt>
                <c:pt idx="1">
                  <c:v>0.77000000000000013</c:v>
                </c:pt>
                <c:pt idx="2">
                  <c:v>0.84000000000000008</c:v>
                </c:pt>
                <c:pt idx="3">
                  <c:v>0.68</c:v>
                </c:pt>
                <c:pt idx="4">
                  <c:v>0.4</c:v>
                </c:pt>
              </c:numCache>
            </c:numRef>
          </c:val>
          <c:extLst>
            <c:ext xmlns:c16="http://schemas.microsoft.com/office/drawing/2014/chart" uri="{C3380CC4-5D6E-409C-BE32-E72D297353CC}">
              <c16:uniqueId val="{00000000-55A1-4346-9228-EEE2ED1B7A5E}"/>
            </c:ext>
          </c:extLst>
        </c:ser>
        <c:ser>
          <c:idx val="2"/>
          <c:order val="1"/>
          <c:tx>
            <c:strRef>
              <c:f>Sheet1!$C$1</c:f>
              <c:strCache>
                <c:ptCount val="1"/>
                <c:pt idx="0">
                  <c:v>2015</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Sheet1!$C$2:$C$6</c:f>
              <c:numCache>
                <c:formatCode>0%</c:formatCode>
                <c:ptCount val="5"/>
                <c:pt idx="0">
                  <c:v>0.51</c:v>
                </c:pt>
                <c:pt idx="1">
                  <c:v>0.8</c:v>
                </c:pt>
                <c:pt idx="2">
                  <c:v>0.81</c:v>
                </c:pt>
                <c:pt idx="3">
                  <c:v>0.72000000000000008</c:v>
                </c:pt>
                <c:pt idx="4">
                  <c:v>0.42000000000000004</c:v>
                </c:pt>
              </c:numCache>
            </c:numRef>
          </c:val>
          <c:extLst>
            <c:ext xmlns:c16="http://schemas.microsoft.com/office/drawing/2014/chart" uri="{C3380CC4-5D6E-409C-BE32-E72D297353CC}">
              <c16:uniqueId val="{00000002-55A1-4346-9228-EEE2ED1B7A5E}"/>
            </c:ext>
          </c:extLst>
        </c:ser>
        <c:ser>
          <c:idx val="1"/>
          <c:order val="2"/>
          <c:tx>
            <c:strRef>
              <c:f>Sheet1!$D$1</c:f>
              <c:strCache>
                <c:ptCount val="1"/>
                <c:pt idx="0">
                  <c:v>2016</c:v>
                </c:pt>
              </c:strCache>
            </c:strRef>
          </c:tx>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19050">
              <a:solidFill>
                <a:schemeClr val="accent4">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Sheet1!$D$2:$D$6</c:f>
              <c:numCache>
                <c:formatCode>0%</c:formatCode>
                <c:ptCount val="5"/>
                <c:pt idx="0">
                  <c:v>0.6100000000000001</c:v>
                </c:pt>
                <c:pt idx="1">
                  <c:v>0.8600000000000001</c:v>
                </c:pt>
                <c:pt idx="2">
                  <c:v>0.91</c:v>
                </c:pt>
                <c:pt idx="3">
                  <c:v>0.78</c:v>
                </c:pt>
                <c:pt idx="4">
                  <c:v>0.59</c:v>
                </c:pt>
              </c:numCache>
            </c:numRef>
          </c:val>
          <c:extLst>
            <c:ext xmlns:c16="http://schemas.microsoft.com/office/drawing/2014/chart" uri="{C3380CC4-5D6E-409C-BE32-E72D297353CC}">
              <c16:uniqueId val="{00000001-55A1-4346-9228-EEE2ED1B7A5E}"/>
            </c:ext>
          </c:extLst>
        </c:ser>
        <c:ser>
          <c:idx val="3"/>
          <c:order val="3"/>
          <c:tx>
            <c:strRef>
              <c:f>Sheet1!$E$1</c:f>
              <c:strCache>
                <c:ptCount val="1"/>
                <c:pt idx="0">
                  <c:v>2017</c:v>
                </c:pt>
              </c:strCache>
            </c:strRef>
          </c:tx>
          <c:spPr>
            <a:gradFill flip="none" rotWithShape="1">
              <a:gsLst>
                <a:gs pos="0">
                  <a:schemeClr val="accent4">
                    <a:lumMod val="75000"/>
                    <a:tint val="66000"/>
                    <a:satMod val="160000"/>
                  </a:schemeClr>
                </a:gs>
                <a:gs pos="50000">
                  <a:schemeClr val="accent4">
                    <a:lumMod val="75000"/>
                    <a:tint val="44500"/>
                    <a:satMod val="160000"/>
                  </a:schemeClr>
                </a:gs>
                <a:gs pos="100000">
                  <a:schemeClr val="accent4">
                    <a:lumMod val="75000"/>
                    <a:tint val="23500"/>
                    <a:satMod val="160000"/>
                  </a:schemeClr>
                </a:gs>
              </a:gsLst>
              <a:path path="circle">
                <a:fillToRect l="50000" t="50000" r="50000" b="50000"/>
              </a:path>
              <a:tileRect/>
            </a:gradFill>
            <a:ln w="19050">
              <a:solidFill>
                <a:srgbClr val="7030A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Sheet1!$E$2:$E$6</c:f>
              <c:numCache>
                <c:formatCode>0%</c:formatCode>
                <c:ptCount val="5"/>
                <c:pt idx="0">
                  <c:v>0.59</c:v>
                </c:pt>
                <c:pt idx="1">
                  <c:v>0.82000000000000006</c:v>
                </c:pt>
                <c:pt idx="2">
                  <c:v>0.89</c:v>
                </c:pt>
                <c:pt idx="3">
                  <c:v>0.76000000000000012</c:v>
                </c:pt>
                <c:pt idx="4">
                  <c:v>0.56999999999999995</c:v>
                </c:pt>
              </c:numCache>
            </c:numRef>
          </c:val>
          <c:extLst>
            <c:ext xmlns:c16="http://schemas.microsoft.com/office/drawing/2014/chart" uri="{C3380CC4-5D6E-409C-BE32-E72D297353CC}">
              <c16:uniqueId val="{00000000-A3EE-4BAF-AC58-CB917B6DEFB5}"/>
            </c:ext>
          </c:extLst>
        </c:ser>
        <c:dLbls>
          <c:showLegendKey val="0"/>
          <c:showVal val="1"/>
          <c:showCatName val="0"/>
          <c:showSerName val="0"/>
          <c:showPercent val="0"/>
          <c:showBubbleSize val="0"/>
        </c:dLbls>
        <c:gapWidth val="444"/>
        <c:overlap val="-90"/>
        <c:axId val="407406344"/>
        <c:axId val="407406736"/>
      </c:barChart>
      <c:catAx>
        <c:axId val="407406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7406736"/>
        <c:crosses val="autoZero"/>
        <c:auto val="1"/>
        <c:lblAlgn val="ctr"/>
        <c:lblOffset val="100"/>
        <c:noMultiLvlLbl val="0"/>
      </c:catAx>
      <c:valAx>
        <c:axId val="407406736"/>
        <c:scaling>
          <c:orientation val="minMax"/>
        </c:scaling>
        <c:delete val="1"/>
        <c:axPos val="l"/>
        <c:numFmt formatCode="0%" sourceLinked="1"/>
        <c:majorTickMark val="none"/>
        <c:minorTickMark val="none"/>
        <c:tickLblPos val="none"/>
        <c:crossAx val="4074063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17098925778603"/>
          <c:y val="0.21996447642320574"/>
          <c:w val="0.71370461504812321"/>
          <c:h val="0.6591935383077131"/>
        </c:manualLayout>
      </c:layout>
      <c:barChart>
        <c:barDir val="col"/>
        <c:grouping val="stacked"/>
        <c:varyColors val="0"/>
        <c:ser>
          <c:idx val="0"/>
          <c:order val="0"/>
          <c:tx>
            <c:strRef>
              <c:f>Sheet1!$B$1</c:f>
              <c:strCache>
                <c:ptCount val="1"/>
                <c:pt idx="0">
                  <c:v>% Mostly Satisified</c:v>
                </c:pt>
              </c:strCache>
            </c:strRef>
          </c:tx>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28575">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Largest Organizations</c:v>
                </c:pt>
                <c:pt idx="2">
                  <c:v>Public Companies</c:v>
                </c:pt>
                <c:pt idx="3">
                  <c:v>Financial Services</c:v>
                </c:pt>
                <c:pt idx="4">
                  <c:v>Not-for-Profits</c:v>
                </c:pt>
              </c:strCache>
            </c:strRef>
          </c:cat>
          <c:val>
            <c:numRef>
              <c:f>Sheet1!$B$2:$B$6</c:f>
              <c:numCache>
                <c:formatCode>0%</c:formatCode>
                <c:ptCount val="5"/>
                <c:pt idx="0">
                  <c:v>0.22</c:v>
                </c:pt>
                <c:pt idx="1">
                  <c:v>0.22</c:v>
                </c:pt>
                <c:pt idx="2">
                  <c:v>0.30000000000000004</c:v>
                </c:pt>
                <c:pt idx="3">
                  <c:v>0.31000000000000005</c:v>
                </c:pt>
                <c:pt idx="4">
                  <c:v>0.23</c:v>
                </c:pt>
              </c:numCache>
            </c:numRef>
          </c:val>
          <c:extLst>
            <c:ext xmlns:c16="http://schemas.microsoft.com/office/drawing/2014/chart" uri="{C3380CC4-5D6E-409C-BE32-E72D297353CC}">
              <c16:uniqueId val="{00000000-701C-4451-8138-885527697B67}"/>
            </c:ext>
          </c:extLst>
        </c:ser>
        <c:ser>
          <c:idx val="1"/>
          <c:order val="1"/>
          <c:tx>
            <c:strRef>
              <c:f>Sheet1!$C$1</c:f>
              <c:strCache>
                <c:ptCount val="1"/>
                <c:pt idx="0">
                  <c:v>% Very Satisfied</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1A6DA6"/>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Largest Organizations</c:v>
                </c:pt>
                <c:pt idx="2">
                  <c:v>Public Companies</c:v>
                </c:pt>
                <c:pt idx="3">
                  <c:v>Financial Services</c:v>
                </c:pt>
                <c:pt idx="4">
                  <c:v>Not-for-Profits</c:v>
                </c:pt>
              </c:strCache>
            </c:strRef>
          </c:cat>
          <c:val>
            <c:numRef>
              <c:f>Sheet1!$C$2:$C$6</c:f>
              <c:numCache>
                <c:formatCode>0%</c:formatCode>
                <c:ptCount val="5"/>
                <c:pt idx="0">
                  <c:v>7.0000000000000021E-2</c:v>
                </c:pt>
                <c:pt idx="1">
                  <c:v>7.0000000000000021E-2</c:v>
                </c:pt>
                <c:pt idx="2">
                  <c:v>8.0000000000000016E-2</c:v>
                </c:pt>
                <c:pt idx="3">
                  <c:v>9.0000000000000011E-2</c:v>
                </c:pt>
                <c:pt idx="4">
                  <c:v>4.0000000000000008E-2</c:v>
                </c:pt>
              </c:numCache>
            </c:numRef>
          </c:val>
          <c:extLst>
            <c:ext xmlns:c16="http://schemas.microsoft.com/office/drawing/2014/chart" uri="{C3380CC4-5D6E-409C-BE32-E72D297353CC}">
              <c16:uniqueId val="{00000001-701C-4451-8138-885527697B67}"/>
            </c:ext>
          </c:extLst>
        </c:ser>
        <c:dLbls>
          <c:showLegendKey val="0"/>
          <c:showVal val="1"/>
          <c:showCatName val="0"/>
          <c:showSerName val="0"/>
          <c:showPercent val="0"/>
          <c:showBubbleSize val="0"/>
        </c:dLbls>
        <c:gapWidth val="79"/>
        <c:overlap val="100"/>
        <c:axId val="407407128"/>
        <c:axId val="407407520"/>
      </c:barChart>
      <c:catAx>
        <c:axId val="4074071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Browallia New" panose="020B0604020202020204" pitchFamily="34" charset="-34"/>
                <a:ea typeface="+mn-ea"/>
                <a:cs typeface="Browallia New" panose="020B0604020202020204" pitchFamily="34" charset="-34"/>
              </a:defRPr>
            </a:pPr>
            <a:endParaRPr lang="en-US"/>
          </a:p>
        </c:txPr>
        <c:crossAx val="407407520"/>
        <c:crosses val="autoZero"/>
        <c:auto val="1"/>
        <c:lblAlgn val="ctr"/>
        <c:lblOffset val="100"/>
        <c:noMultiLvlLbl val="0"/>
      </c:catAx>
      <c:valAx>
        <c:axId val="407407520"/>
        <c:scaling>
          <c:orientation val="minMax"/>
        </c:scaling>
        <c:delete val="1"/>
        <c:axPos val="l"/>
        <c:numFmt formatCode="0%" sourceLinked="1"/>
        <c:majorTickMark val="none"/>
        <c:minorTickMark val="none"/>
        <c:tickLblPos val="none"/>
        <c:crossAx val="407407128"/>
        <c:crosses val="autoZero"/>
        <c:crossBetween val="between"/>
      </c:valAx>
      <c:spPr>
        <a:noFill/>
        <a:ln>
          <a:noFill/>
        </a:ln>
        <a:effectLst/>
      </c:spPr>
    </c:plotArea>
    <c:legend>
      <c:legendPos val="t"/>
      <c:layout>
        <c:manualLayout>
          <c:xMode val="edge"/>
          <c:yMode val="edge"/>
          <c:x val="0.33493637876451016"/>
          <c:y val="0.15086206896551721"/>
          <c:w val="0.37093480260843681"/>
          <c:h val="5.86769730292334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b="1">
                <a:solidFill>
                  <a:srgbClr val="0070C0"/>
                </a:solidFill>
                <a:latin typeface="Browallia New" panose="020B0604020202020204" pitchFamily="34" charset="-34"/>
                <a:cs typeface="Browallia New" panose="020B0604020202020204" pitchFamily="34" charset="-34"/>
              </a:rPr>
              <a:t>Volume &amp; Complexities of Risks Increasing "Mostly" or "Extensively" in Past 5 Years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Volume &amp; Complexities of Risks Increasing "Mostly" or "Extensively" in Past 5 Years</c:v>
                </c:pt>
              </c:strCache>
            </c:strRef>
          </c:tx>
          <c:spPr>
            <a:solidFill>
              <a:schemeClr val="accent2">
                <a:lumMod val="75000"/>
              </a:schemeClr>
            </a:solidFill>
            <a:ln>
              <a:noFill/>
            </a:ln>
            <a:effectLst/>
          </c:spPr>
          <c:invertIfNegative val="0"/>
          <c:dPt>
            <c:idx val="0"/>
            <c:invertIfNegative val="0"/>
            <c:bubble3D val="0"/>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extLst>
              <c:ext xmlns:c16="http://schemas.microsoft.com/office/drawing/2014/chart" uri="{C3380CC4-5D6E-409C-BE32-E72D297353CC}">
                <c16:uniqueId val="{00000001-5704-448A-A066-DEBFF610B6FC}"/>
              </c:ext>
            </c:extLst>
          </c:dPt>
          <c:dPt>
            <c:idx val="1"/>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28575">
                <a:solidFill>
                  <a:schemeClr val="accent2">
                    <a:lumMod val="75000"/>
                  </a:schemeClr>
                </a:solidFill>
              </a:ln>
              <a:effectLst/>
            </c:spPr>
            <c:extLst>
              <c:ext xmlns:c16="http://schemas.microsoft.com/office/drawing/2014/chart" uri="{C3380CC4-5D6E-409C-BE32-E72D297353CC}">
                <c16:uniqueId val="{00000001-C7AD-D640-A54D-B742D34CBA65}"/>
              </c:ext>
            </c:extLst>
          </c:dPt>
          <c:dPt>
            <c:idx val="2"/>
            <c:invertIfNegative val="0"/>
            <c:bubble3D val="0"/>
            <c:spPr>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50000" t="50000" r="50000" b="50000"/>
                </a:path>
                <a:tileRect/>
              </a:gradFill>
              <a:ln w="28575">
                <a:solidFill>
                  <a:srgbClr val="1A6DA6"/>
                </a:solidFill>
              </a:ln>
              <a:effectLst/>
            </c:spPr>
            <c:extLst>
              <c:ext xmlns:c16="http://schemas.microsoft.com/office/drawing/2014/chart" uri="{C3380CC4-5D6E-409C-BE32-E72D297353CC}">
                <c16:uniqueId val="{00000003-C7AD-D640-A54D-B742D34CBA65}"/>
              </c:ext>
            </c:extLst>
          </c:dPt>
          <c:dPt>
            <c:idx val="3"/>
            <c:invertIfNegative val="0"/>
            <c:bubble3D val="0"/>
            <c:spPr>
              <a:gradFill flip="none" rotWithShape="1">
                <a:gsLst>
                  <a:gs pos="0">
                    <a:srgbClr val="002060">
                      <a:tint val="66000"/>
                      <a:satMod val="160000"/>
                    </a:srgbClr>
                  </a:gs>
                  <a:gs pos="50000">
                    <a:srgbClr val="002060">
                      <a:tint val="44500"/>
                      <a:satMod val="160000"/>
                    </a:srgbClr>
                  </a:gs>
                  <a:gs pos="100000">
                    <a:srgbClr val="002060">
                      <a:tint val="23500"/>
                      <a:satMod val="160000"/>
                    </a:srgbClr>
                  </a:gs>
                </a:gsLst>
                <a:path path="circle">
                  <a:fillToRect l="50000" t="50000" r="50000" b="50000"/>
                </a:path>
                <a:tileRect/>
              </a:gradFill>
              <a:ln w="28575">
                <a:solidFill>
                  <a:srgbClr val="C00000"/>
                </a:solidFill>
              </a:ln>
              <a:effectLst/>
            </c:spPr>
            <c:extLst>
              <c:ext xmlns:c16="http://schemas.microsoft.com/office/drawing/2014/chart" uri="{C3380CC4-5D6E-409C-BE32-E72D297353CC}">
                <c16:uniqueId val="{00000005-C7AD-D640-A54D-B742D34CBA65}"/>
              </c:ext>
            </c:extLst>
          </c:dPt>
          <c:dPt>
            <c:idx val="4"/>
            <c:invertIfNegative val="0"/>
            <c:bubble3D val="0"/>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28575">
                <a:solidFill>
                  <a:schemeClr val="accent4">
                    <a:lumMod val="75000"/>
                  </a:schemeClr>
                </a:solidFill>
              </a:ln>
              <a:effectLst/>
            </c:spPr>
            <c:extLst>
              <c:ext xmlns:c16="http://schemas.microsoft.com/office/drawing/2014/chart" uri="{C3380CC4-5D6E-409C-BE32-E72D297353CC}">
                <c16:uniqueId val="{00000007-C7AD-D640-A54D-B742D34CBA65}"/>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0.60000000000000009</c:v>
                </c:pt>
                <c:pt idx="1">
                  <c:v>0.65000000000000013</c:v>
                </c:pt>
                <c:pt idx="2">
                  <c:v>0.65000000000000013</c:v>
                </c:pt>
                <c:pt idx="3">
                  <c:v>0.6100000000000001</c:v>
                </c:pt>
                <c:pt idx="4">
                  <c:v>0.55000000000000004</c:v>
                </c:pt>
              </c:numCache>
            </c:numRef>
          </c:val>
          <c:extLst>
            <c:ext xmlns:c16="http://schemas.microsoft.com/office/drawing/2014/chart" uri="{C3380CC4-5D6E-409C-BE32-E72D297353CC}">
              <c16:uniqueId val="{00000008-C7AD-D640-A54D-B742D34CBA65}"/>
            </c:ext>
          </c:extLst>
        </c:ser>
        <c:dLbls>
          <c:showLegendKey val="0"/>
          <c:showVal val="1"/>
          <c:showCatName val="0"/>
          <c:showSerName val="0"/>
          <c:showPercent val="0"/>
          <c:showBubbleSize val="0"/>
        </c:dLbls>
        <c:gapWidth val="444"/>
        <c:overlap val="-90"/>
        <c:axId val="378622632"/>
        <c:axId val="74857360"/>
      </c:barChart>
      <c:catAx>
        <c:axId val="378622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4857360"/>
        <c:crosses val="autoZero"/>
        <c:auto val="1"/>
        <c:lblAlgn val="ctr"/>
        <c:lblOffset val="100"/>
        <c:noMultiLvlLbl val="0"/>
      </c:catAx>
      <c:valAx>
        <c:axId val="74857360"/>
        <c:scaling>
          <c:orientation val="minMax"/>
        </c:scaling>
        <c:delete val="1"/>
        <c:axPos val="l"/>
        <c:numFmt formatCode="0%" sourceLinked="1"/>
        <c:majorTickMark val="none"/>
        <c:minorTickMark val="none"/>
        <c:tickLblPos val="none"/>
        <c:crossAx val="378622632"/>
        <c:crosses val="autoZero"/>
        <c:crossBetween val="between"/>
      </c:valAx>
      <c:spPr>
        <a:noFill/>
        <a:ln>
          <a:noFill/>
        </a:ln>
        <a:effectLst/>
      </c:spPr>
    </c:plotArea>
    <c:legend>
      <c:legendPos val="t"/>
      <c:layout>
        <c:manualLayout>
          <c:xMode val="edge"/>
          <c:yMode val="edge"/>
          <c:x val="7.8932255663086259E-2"/>
          <c:y val="0.16533745781777284"/>
          <c:w val="0.86765909020491883"/>
          <c:h val="6.48240844894388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b="1">
                <a:solidFill>
                  <a:srgbClr val="0070C0"/>
                </a:solidFill>
                <a:latin typeface="Browallia New" panose="020B0604020202020204" pitchFamily="34" charset="-34"/>
                <a:cs typeface="Browallia New" panose="020B0604020202020204" pitchFamily="34" charset="-34"/>
              </a:rPr>
              <a:t>Percentage Experiencing an </a:t>
            </a:r>
          </a:p>
          <a:p>
            <a:pPr>
              <a:defRPr/>
            </a:pPr>
            <a:r>
              <a:rPr lang="en-US" sz="1400" b="1">
                <a:solidFill>
                  <a:srgbClr val="0070C0"/>
                </a:solidFill>
                <a:latin typeface="Browallia New" panose="020B0604020202020204" pitchFamily="34" charset="-34"/>
                <a:cs typeface="Browallia New" panose="020B0604020202020204" pitchFamily="34" charset="-34"/>
              </a:rPr>
              <a:t>Operational Surprise</a:t>
            </a:r>
          </a:p>
          <a:p>
            <a:pPr>
              <a:defRPr/>
            </a:pPr>
            <a:r>
              <a:rPr lang="en-US" sz="1400" b="1">
                <a:solidFill>
                  <a:srgbClr val="0070C0"/>
                </a:solidFill>
                <a:latin typeface="Browallia New" panose="020B0604020202020204" pitchFamily="34" charset="-34"/>
                <a:cs typeface="Browallia New" panose="020B0604020202020204" pitchFamily="34" charset="-34"/>
              </a:rPr>
              <a:t>"Somewhat," "Mostly," or "Extensively" in Past 5 Years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Experiencing an Operational Surprise "Somewhat", "Mostly" or "Extensively"</c:v>
                </c:pt>
              </c:strCache>
            </c:strRef>
          </c:tx>
          <c:spPr>
            <a:solidFill>
              <a:schemeClr val="accent1"/>
            </a:solidFill>
            <a:ln>
              <a:noFill/>
            </a:ln>
            <a:effectLst/>
          </c:spPr>
          <c:invertIfNegative val="0"/>
          <c:dPt>
            <c:idx val="0"/>
            <c:invertIfNegative val="0"/>
            <c:bubble3D val="0"/>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extLst>
              <c:ext xmlns:c16="http://schemas.microsoft.com/office/drawing/2014/chart" uri="{C3380CC4-5D6E-409C-BE32-E72D297353CC}">
                <c16:uniqueId val="{00000001-40A4-45E4-8718-E63E0AE6C481}"/>
              </c:ext>
            </c:extLst>
          </c:dPt>
          <c:dPt>
            <c:idx val="1"/>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28575">
                <a:solidFill>
                  <a:schemeClr val="accent2">
                    <a:lumMod val="75000"/>
                  </a:schemeClr>
                </a:solidFill>
              </a:ln>
              <a:effectLst/>
            </c:spPr>
            <c:extLst>
              <c:ext xmlns:c16="http://schemas.microsoft.com/office/drawing/2014/chart" uri="{C3380CC4-5D6E-409C-BE32-E72D297353CC}">
                <c16:uniqueId val="{00000001-E00C-AC4E-B4F4-2B41353CAAB3}"/>
              </c:ext>
            </c:extLst>
          </c:dPt>
          <c:dPt>
            <c:idx val="2"/>
            <c:invertIfNegative val="0"/>
            <c:bubble3D val="0"/>
            <c:spPr>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50000" t="50000" r="50000" b="50000"/>
                </a:path>
                <a:tileRect/>
              </a:gradFill>
              <a:ln w="28575">
                <a:solidFill>
                  <a:srgbClr val="002060"/>
                </a:solidFill>
              </a:ln>
              <a:effectLst/>
            </c:spPr>
            <c:extLst>
              <c:ext xmlns:c16="http://schemas.microsoft.com/office/drawing/2014/chart" uri="{C3380CC4-5D6E-409C-BE32-E72D297353CC}">
                <c16:uniqueId val="{00000003-E00C-AC4E-B4F4-2B41353CAAB3}"/>
              </c:ext>
            </c:extLst>
          </c:dPt>
          <c:dPt>
            <c:idx val="3"/>
            <c:invertIfNegative val="0"/>
            <c:bubble3D val="0"/>
            <c:spPr>
              <a:gradFill flip="none" rotWithShape="1">
                <a:gsLst>
                  <a:gs pos="0">
                    <a:srgbClr val="002060">
                      <a:tint val="66000"/>
                      <a:satMod val="160000"/>
                    </a:srgbClr>
                  </a:gs>
                  <a:gs pos="50000">
                    <a:srgbClr val="002060">
                      <a:tint val="44500"/>
                      <a:satMod val="160000"/>
                    </a:srgbClr>
                  </a:gs>
                  <a:gs pos="100000">
                    <a:srgbClr val="002060">
                      <a:tint val="23500"/>
                      <a:satMod val="160000"/>
                    </a:srgbClr>
                  </a:gs>
                </a:gsLst>
                <a:path path="circle">
                  <a:fillToRect l="50000" t="50000" r="50000" b="50000"/>
                </a:path>
                <a:tileRect/>
              </a:gradFill>
              <a:ln w="28575">
                <a:solidFill>
                  <a:srgbClr val="C00000"/>
                </a:solidFill>
              </a:ln>
              <a:effectLst/>
            </c:spPr>
            <c:extLst>
              <c:ext xmlns:c16="http://schemas.microsoft.com/office/drawing/2014/chart" uri="{C3380CC4-5D6E-409C-BE32-E72D297353CC}">
                <c16:uniqueId val="{00000005-E00C-AC4E-B4F4-2B41353CAAB3}"/>
              </c:ext>
            </c:extLst>
          </c:dPt>
          <c:dPt>
            <c:idx val="4"/>
            <c:invertIfNegative val="0"/>
            <c:bubble3D val="0"/>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28575">
                <a:solidFill>
                  <a:schemeClr val="accent4">
                    <a:lumMod val="75000"/>
                  </a:schemeClr>
                </a:solidFill>
              </a:ln>
              <a:effectLst/>
            </c:spPr>
            <c:extLst>
              <c:ext xmlns:c16="http://schemas.microsoft.com/office/drawing/2014/chart" uri="{C3380CC4-5D6E-409C-BE32-E72D297353CC}">
                <c16:uniqueId val="{00000007-E00C-AC4E-B4F4-2B41353CAAB3}"/>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0.65000000000000013</c:v>
                </c:pt>
                <c:pt idx="1">
                  <c:v>0.72000000000000008</c:v>
                </c:pt>
                <c:pt idx="2">
                  <c:v>0.73000000000000009</c:v>
                </c:pt>
                <c:pt idx="3">
                  <c:v>0.59</c:v>
                </c:pt>
                <c:pt idx="4">
                  <c:v>0.60000000000000009</c:v>
                </c:pt>
              </c:numCache>
            </c:numRef>
          </c:val>
          <c:extLst>
            <c:ext xmlns:c16="http://schemas.microsoft.com/office/drawing/2014/chart" uri="{C3380CC4-5D6E-409C-BE32-E72D297353CC}">
              <c16:uniqueId val="{00000008-E00C-AC4E-B4F4-2B41353CAAB3}"/>
            </c:ext>
          </c:extLst>
        </c:ser>
        <c:dLbls>
          <c:showLegendKey val="0"/>
          <c:showVal val="1"/>
          <c:showCatName val="0"/>
          <c:showSerName val="0"/>
          <c:showPercent val="0"/>
          <c:showBubbleSize val="0"/>
        </c:dLbls>
        <c:gapWidth val="444"/>
        <c:overlap val="-90"/>
        <c:axId val="74855008"/>
        <c:axId val="74855792"/>
      </c:barChart>
      <c:catAx>
        <c:axId val="74855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4855792"/>
        <c:crosses val="autoZero"/>
        <c:auto val="1"/>
        <c:lblAlgn val="ctr"/>
        <c:lblOffset val="100"/>
        <c:noMultiLvlLbl val="0"/>
      </c:catAx>
      <c:valAx>
        <c:axId val="74855792"/>
        <c:scaling>
          <c:orientation val="minMax"/>
        </c:scaling>
        <c:delete val="1"/>
        <c:axPos val="l"/>
        <c:numFmt formatCode="0%" sourceLinked="1"/>
        <c:majorTickMark val="none"/>
        <c:minorTickMark val="none"/>
        <c:tickLblPos val="none"/>
        <c:crossAx val="74855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a:solidFill>
                  <a:srgbClr val="0070C0"/>
                </a:solidFill>
                <a:latin typeface="Browallia New" panose="020B0604020202020204" pitchFamily="34" charset="-34"/>
                <a:cs typeface="Browallia New" panose="020B0604020202020204" pitchFamily="34" charset="-34"/>
              </a:rPr>
              <a:t>Extent to Which Boards are Asking for More Senior Executive Involvement in Risk Management</a:t>
            </a:r>
          </a:p>
          <a:p>
            <a:pPr>
              <a:defRPr/>
            </a:pPr>
            <a:r>
              <a:rPr lang="en-US" sz="1400">
                <a:solidFill>
                  <a:srgbClr val="0070C0"/>
                </a:solidFill>
                <a:latin typeface="Browallia New" panose="020B0604020202020204" pitchFamily="34" charset="-34"/>
                <a:cs typeface="Browallia New" panose="020B0604020202020204" pitchFamily="34" charset="-34"/>
              </a:rPr>
              <a:t>"Somewhat", "Mostly", or "Extensively"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2014</c:v>
                </c:pt>
              </c:strCache>
            </c:strRef>
          </c:tx>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0.68</c:v>
                </c:pt>
                <c:pt idx="1">
                  <c:v>0.8600000000000001</c:v>
                </c:pt>
                <c:pt idx="2">
                  <c:v>0.88</c:v>
                </c:pt>
                <c:pt idx="3">
                  <c:v>0.75000000000000011</c:v>
                </c:pt>
                <c:pt idx="4">
                  <c:v>0.68</c:v>
                </c:pt>
              </c:numCache>
            </c:numRef>
          </c:val>
          <c:extLst>
            <c:ext xmlns:c16="http://schemas.microsoft.com/office/drawing/2014/chart" uri="{C3380CC4-5D6E-409C-BE32-E72D297353CC}">
              <c16:uniqueId val="{00000000-B833-4E45-BE4C-168FB3A81DF2}"/>
            </c:ext>
          </c:extLst>
        </c:ser>
        <c:ser>
          <c:idx val="2"/>
          <c:order val="1"/>
          <c:tx>
            <c:strRef>
              <c:f>Sheet1!$C$1</c:f>
              <c:strCache>
                <c:ptCount val="1"/>
                <c:pt idx="0">
                  <c:v>2015</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Sheet1!$C$2:$C$6</c:f>
              <c:numCache>
                <c:formatCode>0%</c:formatCode>
                <c:ptCount val="5"/>
                <c:pt idx="0">
                  <c:v>0.70000000000000007</c:v>
                </c:pt>
                <c:pt idx="1">
                  <c:v>0.88</c:v>
                </c:pt>
                <c:pt idx="2">
                  <c:v>0.88</c:v>
                </c:pt>
                <c:pt idx="3">
                  <c:v>0.79</c:v>
                </c:pt>
                <c:pt idx="4">
                  <c:v>0.7400000000000001</c:v>
                </c:pt>
              </c:numCache>
            </c:numRef>
          </c:val>
          <c:extLst>
            <c:ext xmlns:c16="http://schemas.microsoft.com/office/drawing/2014/chart" uri="{C3380CC4-5D6E-409C-BE32-E72D297353CC}">
              <c16:uniqueId val="{00000000-3798-4E4A-B556-367B703E7415}"/>
            </c:ext>
          </c:extLst>
        </c:ser>
        <c:ser>
          <c:idx val="1"/>
          <c:order val="2"/>
          <c:tx>
            <c:strRef>
              <c:f>Sheet1!$D$1</c:f>
              <c:strCache>
                <c:ptCount val="1"/>
                <c:pt idx="0">
                  <c:v>2016</c:v>
                </c:pt>
              </c:strCache>
            </c:strRef>
          </c:tx>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19050">
              <a:solidFill>
                <a:schemeClr val="accent4">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Sheet1!$D$2:$D$6</c:f>
              <c:numCache>
                <c:formatCode>0%</c:formatCode>
                <c:ptCount val="5"/>
                <c:pt idx="0">
                  <c:v>0.67000000000000015</c:v>
                </c:pt>
                <c:pt idx="1">
                  <c:v>0.82000000000000006</c:v>
                </c:pt>
                <c:pt idx="2">
                  <c:v>0.81</c:v>
                </c:pt>
                <c:pt idx="3">
                  <c:v>0.75000000000000011</c:v>
                </c:pt>
                <c:pt idx="4">
                  <c:v>0.71000000000000008</c:v>
                </c:pt>
              </c:numCache>
            </c:numRef>
          </c:val>
          <c:extLst>
            <c:ext xmlns:c16="http://schemas.microsoft.com/office/drawing/2014/chart" uri="{C3380CC4-5D6E-409C-BE32-E72D297353CC}">
              <c16:uniqueId val="{00000001-B833-4E45-BE4C-168FB3A81DF2}"/>
            </c:ext>
          </c:extLst>
        </c:ser>
        <c:ser>
          <c:idx val="3"/>
          <c:order val="3"/>
          <c:tx>
            <c:strRef>
              <c:f>Sheet1!$E$1</c:f>
              <c:strCache>
                <c:ptCount val="1"/>
                <c:pt idx="0">
                  <c:v>2017</c:v>
                </c:pt>
              </c:strCache>
            </c:strRef>
          </c:tx>
          <c:spPr>
            <a:gradFill flip="none" rotWithShape="1">
              <a:gsLst>
                <a:gs pos="0">
                  <a:schemeClr val="accent4">
                    <a:lumMod val="75000"/>
                    <a:tint val="66000"/>
                    <a:satMod val="160000"/>
                  </a:schemeClr>
                </a:gs>
                <a:gs pos="50000">
                  <a:schemeClr val="accent4">
                    <a:lumMod val="75000"/>
                    <a:tint val="44500"/>
                    <a:satMod val="160000"/>
                  </a:schemeClr>
                </a:gs>
                <a:gs pos="100000">
                  <a:schemeClr val="accent4">
                    <a:lumMod val="75000"/>
                    <a:tint val="23500"/>
                    <a:satMod val="160000"/>
                  </a:schemeClr>
                </a:gs>
              </a:gsLst>
              <a:path path="circle">
                <a:fillToRect l="50000" t="50000" r="50000" b="50000"/>
              </a:path>
              <a:tileRect/>
            </a:gradFill>
            <a:ln w="19050">
              <a:solidFill>
                <a:srgbClr val="7030A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Sheet1!$E$2:$E$6</c:f>
              <c:numCache>
                <c:formatCode>0%</c:formatCode>
                <c:ptCount val="5"/>
                <c:pt idx="0">
                  <c:v>0.68</c:v>
                </c:pt>
                <c:pt idx="1">
                  <c:v>0.82000000000000006</c:v>
                </c:pt>
                <c:pt idx="2">
                  <c:v>0.84000000000000008</c:v>
                </c:pt>
                <c:pt idx="3">
                  <c:v>0.75000000000000011</c:v>
                </c:pt>
                <c:pt idx="4">
                  <c:v>0.67000000000000015</c:v>
                </c:pt>
              </c:numCache>
            </c:numRef>
          </c:val>
          <c:extLst>
            <c:ext xmlns:c16="http://schemas.microsoft.com/office/drawing/2014/chart" uri="{C3380CC4-5D6E-409C-BE32-E72D297353CC}">
              <c16:uniqueId val="{00000000-8194-4453-BFDF-9B4B66A1D49A}"/>
            </c:ext>
          </c:extLst>
        </c:ser>
        <c:dLbls>
          <c:showLegendKey val="0"/>
          <c:showVal val="1"/>
          <c:showCatName val="0"/>
          <c:showSerName val="0"/>
          <c:showPercent val="0"/>
          <c:showBubbleSize val="0"/>
        </c:dLbls>
        <c:gapWidth val="444"/>
        <c:overlap val="-90"/>
        <c:axId val="74855400"/>
        <c:axId val="74854616"/>
      </c:barChart>
      <c:catAx>
        <c:axId val="74855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4854616"/>
        <c:crosses val="autoZero"/>
        <c:auto val="1"/>
        <c:lblAlgn val="ctr"/>
        <c:lblOffset val="100"/>
        <c:noMultiLvlLbl val="0"/>
      </c:catAx>
      <c:valAx>
        <c:axId val="74854616"/>
        <c:scaling>
          <c:orientation val="minMax"/>
        </c:scaling>
        <c:delete val="1"/>
        <c:axPos val="l"/>
        <c:numFmt formatCode="0%" sourceLinked="1"/>
        <c:majorTickMark val="none"/>
        <c:minorTickMark val="none"/>
        <c:tickLblPos val="none"/>
        <c:crossAx val="74855400"/>
        <c:crosses val="autoZero"/>
        <c:crossBetween val="between"/>
      </c:valAx>
      <c:spPr>
        <a:noFill/>
        <a:ln>
          <a:noFill/>
        </a:ln>
        <a:effectLst/>
      </c:spPr>
    </c:plotArea>
    <c:legend>
      <c:legendPos val="t"/>
      <c:layout>
        <c:manualLayout>
          <c:xMode val="edge"/>
          <c:yMode val="edge"/>
          <c:x val="0.23668853893263342"/>
          <c:y val="0.24583333333333338"/>
          <c:w val="0.51736366287547386"/>
          <c:h val="6.48240844894388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b="1">
                <a:solidFill>
                  <a:srgbClr val="0070C0"/>
                </a:solidFill>
                <a:latin typeface="Browallia New" panose="020B0604020202020204" pitchFamily="34" charset="-34"/>
                <a:cs typeface="Browallia New" panose="020B0604020202020204" pitchFamily="34" charset="-34"/>
              </a:rPr>
              <a:t>Percentage with "Mature" or "Robust" Risk Management Oversight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2014</c:v>
                </c:pt>
              </c:strCache>
            </c:strRef>
          </c:tx>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0.23</c:v>
                </c:pt>
                <c:pt idx="1">
                  <c:v>0.36000000000000004</c:v>
                </c:pt>
                <c:pt idx="2">
                  <c:v>0.39000000000000007</c:v>
                </c:pt>
                <c:pt idx="3">
                  <c:v>0.34</c:v>
                </c:pt>
                <c:pt idx="4">
                  <c:v>0.17</c:v>
                </c:pt>
              </c:numCache>
            </c:numRef>
          </c:val>
          <c:extLst>
            <c:ext xmlns:c16="http://schemas.microsoft.com/office/drawing/2014/chart" uri="{C3380CC4-5D6E-409C-BE32-E72D297353CC}">
              <c16:uniqueId val="{00000000-113C-C146-90F5-AAC74AE81E5B}"/>
            </c:ext>
          </c:extLst>
        </c:ser>
        <c:ser>
          <c:idx val="2"/>
          <c:order val="1"/>
          <c:tx>
            <c:strRef>
              <c:f>Sheet1!$C$1</c:f>
              <c:strCache>
                <c:ptCount val="1"/>
                <c:pt idx="0">
                  <c:v>2015</c:v>
                </c:pt>
              </c:strCache>
            </c:strRef>
          </c:tx>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19050">
              <a:solidFill>
                <a:schemeClr val="accent4">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Sheet1!$C$2:$C$6</c:f>
              <c:numCache>
                <c:formatCode>0%</c:formatCode>
                <c:ptCount val="5"/>
                <c:pt idx="0">
                  <c:v>0.25</c:v>
                </c:pt>
                <c:pt idx="1">
                  <c:v>0.47000000000000003</c:v>
                </c:pt>
                <c:pt idx="2">
                  <c:v>0.45</c:v>
                </c:pt>
                <c:pt idx="3">
                  <c:v>0.41000000000000003</c:v>
                </c:pt>
                <c:pt idx="4">
                  <c:v>0.15000000000000002</c:v>
                </c:pt>
              </c:numCache>
            </c:numRef>
          </c:val>
          <c:extLst>
            <c:ext xmlns:c16="http://schemas.microsoft.com/office/drawing/2014/chart" uri="{C3380CC4-5D6E-409C-BE32-E72D297353CC}">
              <c16:uniqueId val="{00000002-113C-C146-90F5-AAC74AE81E5B}"/>
            </c:ext>
          </c:extLst>
        </c:ser>
        <c:ser>
          <c:idx val="1"/>
          <c:order val="2"/>
          <c:tx>
            <c:strRef>
              <c:f>Sheet1!$D$1</c:f>
              <c:strCache>
                <c:ptCount val="1"/>
                <c:pt idx="0">
                  <c:v>2016</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Sheet1!$D$2:$D$6</c:f>
              <c:numCache>
                <c:formatCode>0%</c:formatCode>
                <c:ptCount val="5"/>
                <c:pt idx="0">
                  <c:v>0.25</c:v>
                </c:pt>
                <c:pt idx="1">
                  <c:v>0.41000000000000003</c:v>
                </c:pt>
                <c:pt idx="2">
                  <c:v>0.44</c:v>
                </c:pt>
                <c:pt idx="3">
                  <c:v>0.36000000000000004</c:v>
                </c:pt>
                <c:pt idx="4">
                  <c:v>0.15000000000000002</c:v>
                </c:pt>
              </c:numCache>
            </c:numRef>
          </c:val>
          <c:extLst>
            <c:ext xmlns:c16="http://schemas.microsoft.com/office/drawing/2014/chart" uri="{C3380CC4-5D6E-409C-BE32-E72D297353CC}">
              <c16:uniqueId val="{00000001-113C-C146-90F5-AAC74AE81E5B}"/>
            </c:ext>
          </c:extLst>
        </c:ser>
        <c:ser>
          <c:idx val="3"/>
          <c:order val="3"/>
          <c:tx>
            <c:strRef>
              <c:f>Sheet1!$E$1</c:f>
              <c:strCache>
                <c:ptCount val="1"/>
                <c:pt idx="0">
                  <c:v>2017</c:v>
                </c:pt>
              </c:strCache>
            </c:strRef>
          </c:tx>
          <c:spPr>
            <a:gradFill flip="none" rotWithShape="1">
              <a:gsLst>
                <a:gs pos="0">
                  <a:schemeClr val="accent4">
                    <a:lumMod val="75000"/>
                    <a:tint val="66000"/>
                    <a:satMod val="160000"/>
                  </a:schemeClr>
                </a:gs>
                <a:gs pos="50000">
                  <a:schemeClr val="accent4">
                    <a:lumMod val="75000"/>
                    <a:tint val="44500"/>
                    <a:satMod val="160000"/>
                  </a:schemeClr>
                </a:gs>
                <a:gs pos="100000">
                  <a:schemeClr val="accent4">
                    <a:lumMod val="75000"/>
                    <a:tint val="23500"/>
                    <a:satMod val="160000"/>
                  </a:schemeClr>
                </a:gs>
              </a:gsLst>
              <a:path path="circle">
                <a:fillToRect l="50000" t="50000" r="50000" b="50000"/>
              </a:path>
              <a:tileRect/>
            </a:gradFill>
            <a:ln w="19050">
              <a:solidFill>
                <a:srgbClr val="7030A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Sheet1!$E$2:$E$6</c:f>
              <c:numCache>
                <c:formatCode>0%</c:formatCode>
                <c:ptCount val="5"/>
                <c:pt idx="0">
                  <c:v>0.22</c:v>
                </c:pt>
                <c:pt idx="1">
                  <c:v>0.35000000000000003</c:v>
                </c:pt>
                <c:pt idx="2">
                  <c:v>0.34</c:v>
                </c:pt>
                <c:pt idx="3">
                  <c:v>0.34</c:v>
                </c:pt>
                <c:pt idx="4">
                  <c:v>0.18000000000000002</c:v>
                </c:pt>
              </c:numCache>
            </c:numRef>
          </c:val>
          <c:extLst>
            <c:ext xmlns:c16="http://schemas.microsoft.com/office/drawing/2014/chart" uri="{C3380CC4-5D6E-409C-BE32-E72D297353CC}">
              <c16:uniqueId val="{00000000-80AC-4F27-8BC3-489D5DA8F2DD}"/>
            </c:ext>
          </c:extLst>
        </c:ser>
        <c:dLbls>
          <c:showLegendKey val="0"/>
          <c:showVal val="1"/>
          <c:showCatName val="0"/>
          <c:showSerName val="0"/>
          <c:showPercent val="0"/>
          <c:showBubbleSize val="0"/>
        </c:dLbls>
        <c:gapWidth val="444"/>
        <c:overlap val="-90"/>
        <c:axId val="384469896"/>
        <c:axId val="384471856"/>
      </c:barChart>
      <c:catAx>
        <c:axId val="384469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4471856"/>
        <c:crosses val="autoZero"/>
        <c:auto val="1"/>
        <c:lblAlgn val="ctr"/>
        <c:lblOffset val="100"/>
        <c:noMultiLvlLbl val="0"/>
      </c:catAx>
      <c:valAx>
        <c:axId val="384471856"/>
        <c:scaling>
          <c:orientation val="minMax"/>
        </c:scaling>
        <c:delete val="1"/>
        <c:axPos val="l"/>
        <c:numFmt formatCode="0%" sourceLinked="1"/>
        <c:majorTickMark val="none"/>
        <c:minorTickMark val="none"/>
        <c:tickLblPos val="none"/>
        <c:crossAx val="384469896"/>
        <c:crosses val="autoZero"/>
        <c:crossBetween val="between"/>
      </c:valAx>
      <c:spPr>
        <a:noFill/>
        <a:ln>
          <a:noFill/>
        </a:ln>
        <a:effectLst/>
      </c:spPr>
    </c:plotArea>
    <c:legend>
      <c:legendPos val="t"/>
      <c:layout>
        <c:manualLayout>
          <c:xMode val="edge"/>
          <c:yMode val="edge"/>
          <c:x val="0.25520705745115185"/>
          <c:y val="0.16930571178602674"/>
          <c:w val="0.46412292213473322"/>
          <c:h val="6.48240844894388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b="1">
                <a:solidFill>
                  <a:srgbClr val="0070C0"/>
                </a:solidFill>
                <a:latin typeface="Browallia New" panose="020B0604020202020204" pitchFamily="34" charset="-34"/>
                <a:cs typeface="Browallia New" panose="020B0604020202020204" pitchFamily="34" charset="-34"/>
              </a:rPr>
              <a:t>Complete ERM in Place:  Full Sample</a:t>
            </a:r>
          </a:p>
        </c:rich>
      </c:tx>
      <c:layout>
        <c:manualLayout>
          <c:xMode val="edge"/>
          <c:yMode val="edge"/>
          <c:x val="0.2895492658012343"/>
          <c:y val="8.018198190651698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06916122664222"/>
          <c:y val="0.22064798580339681"/>
          <c:w val="0.82725584166844024"/>
          <c:h val="0.6482412572922398"/>
        </c:manualLayout>
      </c:layout>
      <c:barChart>
        <c:barDir val="col"/>
        <c:grouping val="clustered"/>
        <c:varyColors val="0"/>
        <c:ser>
          <c:idx val="0"/>
          <c:order val="0"/>
          <c:tx>
            <c:strRef>
              <c:f>Sheet1!$B$1</c:f>
              <c:strCache>
                <c:ptCount val="1"/>
                <c:pt idx="0">
                  <c:v>Complete ERM in Place</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28575">
              <a:solidFill>
                <a:srgbClr val="1A6DA6"/>
              </a:solidFill>
            </a:ln>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DAB-49BF-83C5-794200290CA5}"/>
                </c:ext>
              </c:extLst>
            </c:dLbl>
            <c:dLbl>
              <c:idx val="1"/>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DAB-49BF-83C5-794200290CA5}"/>
                </c:ext>
              </c:extLst>
            </c:dLbl>
            <c:dLbl>
              <c:idx val="2"/>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AB-49BF-83C5-794200290CA5}"/>
                </c:ext>
              </c:extLst>
            </c:dLbl>
            <c:dLbl>
              <c:idx val="3"/>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DAB-49BF-83C5-794200290CA5}"/>
                </c:ext>
              </c:extLst>
            </c:dLbl>
            <c:dLbl>
              <c:idx val="4"/>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DAB-49BF-83C5-794200290CA5}"/>
                </c:ext>
              </c:extLst>
            </c:dLbl>
            <c:dLbl>
              <c:idx val="5"/>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DAB-49BF-83C5-794200290CA5}"/>
                </c:ext>
              </c:extLst>
            </c:dLbl>
            <c:dLbl>
              <c:idx val="6"/>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DAB-49BF-83C5-794200290CA5}"/>
                </c:ext>
              </c:extLst>
            </c:dLbl>
            <c:spPr>
              <a:noFill/>
              <a:ln>
                <a:noFill/>
              </a:ln>
              <a:effectLst/>
            </c:spPr>
            <c:txPr>
              <a:bodyPr rot="-5400000" spcFirstLastPara="1" vertOverflow="clip" horzOverflow="clip"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0.00%</c:formatCode>
                <c:ptCount val="9"/>
                <c:pt idx="0">
                  <c:v>9.0000000000000011E-2</c:v>
                </c:pt>
                <c:pt idx="1">
                  <c:v>0.11</c:v>
                </c:pt>
                <c:pt idx="2">
                  <c:v>0.15000000000000002</c:v>
                </c:pt>
                <c:pt idx="3">
                  <c:v>0.23</c:v>
                </c:pt>
                <c:pt idx="4">
                  <c:v>0.25</c:v>
                </c:pt>
                <c:pt idx="5">
                  <c:v>0.25</c:v>
                </c:pt>
                <c:pt idx="6">
                  <c:v>0.25</c:v>
                </c:pt>
                <c:pt idx="7" formatCode="0%">
                  <c:v>0.28000000000000008</c:v>
                </c:pt>
                <c:pt idx="8" formatCode="0%">
                  <c:v>0.31000000000000005</c:v>
                </c:pt>
              </c:numCache>
            </c:numRef>
          </c:val>
          <c:extLst>
            <c:ext xmlns:c16="http://schemas.microsoft.com/office/drawing/2014/chart" uri="{C3380CC4-5D6E-409C-BE32-E72D297353CC}">
              <c16:uniqueId val="{00000007-2DAB-49BF-83C5-794200290CA5}"/>
            </c:ext>
          </c:extLst>
        </c:ser>
        <c:dLbls>
          <c:showLegendKey val="0"/>
          <c:showVal val="1"/>
          <c:showCatName val="0"/>
          <c:showSerName val="0"/>
          <c:showPercent val="0"/>
          <c:showBubbleSize val="0"/>
        </c:dLbls>
        <c:gapWidth val="444"/>
        <c:overlap val="-90"/>
        <c:axId val="381923024"/>
        <c:axId val="381922632"/>
      </c:barChart>
      <c:catAx>
        <c:axId val="381923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381922632"/>
        <c:crosses val="autoZero"/>
        <c:auto val="1"/>
        <c:lblAlgn val="ctr"/>
        <c:lblOffset val="100"/>
        <c:noMultiLvlLbl val="0"/>
      </c:catAx>
      <c:valAx>
        <c:axId val="381922632"/>
        <c:scaling>
          <c:orientation val="minMax"/>
        </c:scaling>
        <c:delete val="1"/>
        <c:axPos val="l"/>
        <c:numFmt formatCode="0.00%" sourceLinked="1"/>
        <c:majorTickMark val="none"/>
        <c:minorTickMark val="none"/>
        <c:tickLblPos val="none"/>
        <c:crossAx val="381923024"/>
        <c:crosses val="autoZero"/>
        <c:crossBetween val="between"/>
      </c:valAx>
      <c:spPr>
        <a:noFill/>
        <a:ln>
          <a:noFill/>
        </a:ln>
        <a:effectLst/>
      </c:spPr>
    </c:plotArea>
    <c:plotVisOnly val="1"/>
    <c:dispBlanksAs val="gap"/>
    <c:showDLblsOverMax val="0"/>
  </c:chart>
  <c:spPr>
    <a:solidFill>
      <a:schemeClr val="lt1"/>
    </a:solidFill>
    <a:ln w="9525" cap="flat" cmpd="sng" algn="ctr">
      <a:noFill/>
      <a:prstDash val="solid"/>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b="1" i="0">
                <a:solidFill>
                  <a:srgbClr val="0070C0"/>
                </a:solidFill>
                <a:latin typeface="Browallia New" panose="020B0604020202020204" pitchFamily="34" charset="-34"/>
                <a:cs typeface="Browallia New" panose="020B0604020202020204" pitchFamily="34" charset="-34"/>
              </a:rPr>
              <a:t>Percentage with Complete ERM Processes in Place</a:t>
            </a:r>
          </a:p>
        </c:rich>
      </c:tx>
      <c:layout>
        <c:manualLayout>
          <c:xMode val="edge"/>
          <c:yMode val="edge"/>
          <c:x val="0.15849537037037045"/>
          <c:y val="2.3809523809523812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2014</c:v>
                </c:pt>
              </c:strCache>
            </c:strRef>
          </c:tx>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Sheet1!$B$2:$B$6</c:f>
              <c:numCache>
                <c:formatCode>0%</c:formatCode>
                <c:ptCount val="5"/>
                <c:pt idx="0">
                  <c:v>0.25</c:v>
                </c:pt>
                <c:pt idx="1">
                  <c:v>0.44</c:v>
                </c:pt>
                <c:pt idx="2">
                  <c:v>0.48000000000000004</c:v>
                </c:pt>
                <c:pt idx="3">
                  <c:v>0.42000000000000004</c:v>
                </c:pt>
                <c:pt idx="4">
                  <c:v>0.19</c:v>
                </c:pt>
              </c:numCache>
            </c:numRef>
          </c:val>
          <c:extLst>
            <c:ext xmlns:c16="http://schemas.microsoft.com/office/drawing/2014/chart" uri="{C3380CC4-5D6E-409C-BE32-E72D297353CC}">
              <c16:uniqueId val="{00000000-082E-6246-B683-22CAF1A7BFC0}"/>
            </c:ext>
          </c:extLst>
        </c:ser>
        <c:ser>
          <c:idx val="2"/>
          <c:order val="1"/>
          <c:tx>
            <c:strRef>
              <c:f>Sheet1!$C$1</c:f>
              <c:strCache>
                <c:ptCount val="1"/>
                <c:pt idx="0">
                  <c:v>2015</c:v>
                </c:pt>
              </c:strCache>
            </c:strRef>
          </c:tx>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19050">
              <a:solidFill>
                <a:schemeClr val="accent4">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Sheet1!$C$2:$C$6</c:f>
              <c:numCache>
                <c:formatCode>0%</c:formatCode>
                <c:ptCount val="5"/>
                <c:pt idx="0">
                  <c:v>0.25</c:v>
                </c:pt>
                <c:pt idx="1">
                  <c:v>0.51</c:v>
                </c:pt>
                <c:pt idx="2">
                  <c:v>0.51</c:v>
                </c:pt>
                <c:pt idx="3">
                  <c:v>0.46</c:v>
                </c:pt>
                <c:pt idx="4">
                  <c:v>0.17</c:v>
                </c:pt>
              </c:numCache>
            </c:numRef>
          </c:val>
          <c:extLst>
            <c:ext xmlns:c16="http://schemas.microsoft.com/office/drawing/2014/chart" uri="{C3380CC4-5D6E-409C-BE32-E72D297353CC}">
              <c16:uniqueId val="{00000000-CE61-4C7E-B337-A8C34E6C2A0B}"/>
            </c:ext>
          </c:extLst>
        </c:ser>
        <c:ser>
          <c:idx val="1"/>
          <c:order val="2"/>
          <c:tx>
            <c:strRef>
              <c:f>Sheet1!$D$1</c:f>
              <c:strCache>
                <c:ptCount val="1"/>
                <c:pt idx="0">
                  <c:v>2016</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Sheet1!$D$2:$D$6</c:f>
              <c:numCache>
                <c:formatCode>0%</c:formatCode>
                <c:ptCount val="5"/>
                <c:pt idx="0">
                  <c:v>0.28000000000000008</c:v>
                </c:pt>
                <c:pt idx="1">
                  <c:v>0.49000000000000005</c:v>
                </c:pt>
                <c:pt idx="2">
                  <c:v>0.49000000000000005</c:v>
                </c:pt>
                <c:pt idx="3">
                  <c:v>0.4</c:v>
                </c:pt>
                <c:pt idx="4">
                  <c:v>0.19</c:v>
                </c:pt>
              </c:numCache>
            </c:numRef>
          </c:val>
          <c:extLst>
            <c:ext xmlns:c16="http://schemas.microsoft.com/office/drawing/2014/chart" uri="{C3380CC4-5D6E-409C-BE32-E72D297353CC}">
              <c16:uniqueId val="{00000001-082E-6246-B683-22CAF1A7BFC0}"/>
            </c:ext>
          </c:extLst>
        </c:ser>
        <c:ser>
          <c:idx val="3"/>
          <c:order val="3"/>
          <c:tx>
            <c:strRef>
              <c:f>Sheet1!$E$1</c:f>
              <c:strCache>
                <c:ptCount val="1"/>
                <c:pt idx="0">
                  <c:v>2017</c:v>
                </c:pt>
              </c:strCache>
            </c:strRef>
          </c:tx>
          <c:spPr>
            <a:gradFill flip="none" rotWithShape="1">
              <a:gsLst>
                <a:gs pos="0">
                  <a:schemeClr val="accent4">
                    <a:lumMod val="75000"/>
                    <a:tint val="66000"/>
                    <a:satMod val="160000"/>
                  </a:schemeClr>
                </a:gs>
                <a:gs pos="50000">
                  <a:schemeClr val="accent4">
                    <a:lumMod val="75000"/>
                    <a:tint val="44500"/>
                    <a:satMod val="160000"/>
                  </a:schemeClr>
                </a:gs>
                <a:gs pos="100000">
                  <a:schemeClr val="accent4">
                    <a:lumMod val="75000"/>
                    <a:tint val="23500"/>
                    <a:satMod val="160000"/>
                  </a:schemeClr>
                </a:gs>
              </a:gsLst>
              <a:path path="circle">
                <a:fillToRect l="50000" t="50000" r="50000" b="50000"/>
              </a:path>
              <a:tileRect/>
            </a:gradFill>
            <a:ln w="19050">
              <a:solidFill>
                <a:srgbClr val="7030A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Services</c:v>
                </c:pt>
                <c:pt idx="4">
                  <c:v>Not-for-Profit</c:v>
                </c:pt>
              </c:strCache>
            </c:strRef>
          </c:cat>
          <c:val>
            <c:numRef>
              <c:f>Sheet1!$E$2:$E$6</c:f>
              <c:numCache>
                <c:formatCode>0%</c:formatCode>
                <c:ptCount val="5"/>
                <c:pt idx="0">
                  <c:v>0.31000000000000005</c:v>
                </c:pt>
                <c:pt idx="1">
                  <c:v>0.48000000000000004</c:v>
                </c:pt>
                <c:pt idx="2">
                  <c:v>0.51</c:v>
                </c:pt>
                <c:pt idx="3">
                  <c:v>0.49000000000000005</c:v>
                </c:pt>
                <c:pt idx="4">
                  <c:v>0.27</c:v>
                </c:pt>
              </c:numCache>
            </c:numRef>
          </c:val>
          <c:extLst>
            <c:ext xmlns:c16="http://schemas.microsoft.com/office/drawing/2014/chart" uri="{C3380CC4-5D6E-409C-BE32-E72D297353CC}">
              <c16:uniqueId val="{00000000-83C5-4552-8608-50F980E00C41}"/>
            </c:ext>
          </c:extLst>
        </c:ser>
        <c:dLbls>
          <c:showLegendKey val="0"/>
          <c:showVal val="1"/>
          <c:showCatName val="0"/>
          <c:showSerName val="0"/>
          <c:showPercent val="0"/>
          <c:showBubbleSize val="0"/>
        </c:dLbls>
        <c:gapWidth val="444"/>
        <c:overlap val="-90"/>
        <c:axId val="380881832"/>
        <c:axId val="380882224"/>
      </c:barChart>
      <c:catAx>
        <c:axId val="380881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0882224"/>
        <c:crosses val="autoZero"/>
        <c:auto val="1"/>
        <c:lblAlgn val="ctr"/>
        <c:lblOffset val="100"/>
        <c:noMultiLvlLbl val="0"/>
      </c:catAx>
      <c:valAx>
        <c:axId val="380882224"/>
        <c:scaling>
          <c:orientation val="minMax"/>
        </c:scaling>
        <c:delete val="1"/>
        <c:axPos val="l"/>
        <c:numFmt formatCode="0%" sourceLinked="1"/>
        <c:majorTickMark val="none"/>
        <c:minorTickMark val="none"/>
        <c:tickLblPos val="none"/>
        <c:crossAx val="380881832"/>
        <c:crosses val="autoZero"/>
        <c:crossBetween val="between"/>
      </c:valAx>
      <c:spPr>
        <a:noFill/>
        <a:ln>
          <a:noFill/>
        </a:ln>
        <a:effectLst/>
      </c:spPr>
    </c:plotArea>
    <c:legend>
      <c:legendPos val="t"/>
      <c:layout>
        <c:manualLayout>
          <c:xMode val="edge"/>
          <c:yMode val="edge"/>
          <c:x val="0.229744094488189"/>
          <c:y val="0.12345238095238097"/>
          <c:w val="0.52662292213473327"/>
          <c:h val="6.48240844894388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b="1">
                <a:solidFill>
                  <a:srgbClr val="0070C0"/>
                </a:solidFill>
                <a:latin typeface="Browallia New" panose="020B0604020202020204" pitchFamily="34" charset="-34"/>
                <a:cs typeface="Browallia New" panose="020B0604020202020204" pitchFamily="34" charset="-34"/>
              </a:rPr>
              <a:t>PERCENTAGE DesignatING Individual to Serve as </a:t>
            </a:r>
          </a:p>
          <a:p>
            <a:pPr>
              <a:defRPr sz="1600" cap="all" spc="120" normalizeH="0">
                <a:solidFill>
                  <a:schemeClr val="tx1">
                    <a:lumMod val="65000"/>
                    <a:lumOff val="35000"/>
                  </a:schemeClr>
                </a:solidFill>
              </a:defRPr>
            </a:pPr>
            <a:r>
              <a:rPr lang="en-US" sz="1200" b="1">
                <a:solidFill>
                  <a:srgbClr val="0070C0"/>
                </a:solidFill>
                <a:latin typeface="Browallia New" panose="020B0604020202020204" pitchFamily="34" charset="-34"/>
                <a:cs typeface="Browallia New" panose="020B0604020202020204" pitchFamily="34" charset="-34"/>
              </a:rPr>
              <a:t>CRO or Equivalent</a:t>
            </a:r>
          </a:p>
        </c:rich>
      </c:tx>
      <c:layout>
        <c:manualLayout>
          <c:xMode val="edge"/>
          <c:yMode val="edge"/>
          <c:x val="0.21789219313365296"/>
          <c:y val="7.6281900932596194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17634630271973"/>
          <c:y val="0.30969267139479917"/>
          <c:w val="0.72842934557134731"/>
          <c:h val="0.55919658978797848"/>
        </c:manualLayout>
      </c:layout>
      <c:barChart>
        <c:barDir val="col"/>
        <c:grouping val="clustered"/>
        <c:varyColors val="0"/>
        <c:ser>
          <c:idx val="0"/>
          <c:order val="0"/>
          <c:tx>
            <c:strRef>
              <c:f>Sheet1!$B$1</c:f>
              <c:strCache>
                <c:ptCount val="1"/>
                <c:pt idx="0">
                  <c:v>Percentage Designating Executive as Chief Risk Officer or Equivalent</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Pt>
            <c:idx val="0"/>
            <c:invertIfNegative val="0"/>
            <c:bubble3D val="0"/>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extLst>
              <c:ext xmlns:c16="http://schemas.microsoft.com/office/drawing/2014/chart" uri="{C3380CC4-5D6E-409C-BE32-E72D297353CC}">
                <c16:uniqueId val="{00000000-E61A-4256-A506-FAA2E11CD700}"/>
              </c:ext>
            </c:extLst>
          </c:dPt>
          <c:dLbls>
            <c:dLbl>
              <c:idx val="0"/>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61A-4256-A506-FAA2E11CD700}"/>
                </c:ext>
              </c:extLst>
            </c:dLbl>
            <c:dLbl>
              <c:idx val="1"/>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61A-4256-A506-FAA2E11CD700}"/>
                </c:ext>
              </c:extLst>
            </c:dLbl>
            <c:dLbl>
              <c:idx val="2"/>
              <c:tx>
                <c:rich>
                  <a:bodyPr/>
                  <a:lstStyle/>
                  <a:p>
                    <a:r>
                      <a:rPr lang="en-US"/>
                      <a:t>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61A-4256-A506-FAA2E11CD700}"/>
                </c:ext>
              </c:extLst>
            </c:dLbl>
            <c:dLbl>
              <c:idx val="3"/>
              <c:tx>
                <c:rich>
                  <a:bodyPr/>
                  <a:lstStyle/>
                  <a:p>
                    <a:r>
                      <a:rPr lang="en-US"/>
                      <a:t>38%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61A-4256-A506-FAA2E11CD700}"/>
                </c:ext>
              </c:extLst>
            </c:dLbl>
            <c:dLbl>
              <c:idx val="4"/>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61A-4256-A506-FAA2E11CD700}"/>
                </c:ext>
              </c:extLst>
            </c:dLbl>
            <c:dLbl>
              <c:idx val="5"/>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61A-4256-A506-FAA2E11CD700}"/>
                </c:ext>
              </c:extLst>
            </c:dLbl>
            <c:dLbl>
              <c:idx val="6"/>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61A-4256-A506-FAA2E11CD700}"/>
                </c:ext>
              </c:extLst>
            </c:dLbl>
            <c:spPr>
              <a:noFill/>
              <a:ln>
                <a:noFill/>
              </a:ln>
              <a:effectLst/>
            </c:spPr>
            <c:txPr>
              <a:bodyPr rot="-5400000" spcFirstLastPara="1" vertOverflow="clip" horzOverflow="clip"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0%</c:formatCode>
                <c:ptCount val="9"/>
                <c:pt idx="0">
                  <c:v>0.18000000000000002</c:v>
                </c:pt>
                <c:pt idx="1">
                  <c:v>0.23</c:v>
                </c:pt>
                <c:pt idx="2">
                  <c:v>0.24000000000000002</c:v>
                </c:pt>
                <c:pt idx="3">
                  <c:v>0.38000000000000006</c:v>
                </c:pt>
                <c:pt idx="4">
                  <c:v>0.31000000000000005</c:v>
                </c:pt>
                <c:pt idx="5">
                  <c:v>0.32000000000000006</c:v>
                </c:pt>
                <c:pt idx="6">
                  <c:v>0.32000000000000006</c:v>
                </c:pt>
                <c:pt idx="7">
                  <c:v>0.42000000000000004</c:v>
                </c:pt>
                <c:pt idx="8">
                  <c:v>0.48000000000000004</c:v>
                </c:pt>
              </c:numCache>
            </c:numRef>
          </c:val>
          <c:extLst>
            <c:ext xmlns:c16="http://schemas.microsoft.com/office/drawing/2014/chart" uri="{C3380CC4-5D6E-409C-BE32-E72D297353CC}">
              <c16:uniqueId val="{00000007-E61A-4256-A506-FAA2E11CD700}"/>
            </c:ext>
          </c:extLst>
        </c:ser>
        <c:dLbls>
          <c:showLegendKey val="0"/>
          <c:showVal val="1"/>
          <c:showCatName val="0"/>
          <c:showSerName val="0"/>
          <c:showPercent val="0"/>
          <c:showBubbleSize val="0"/>
        </c:dLbls>
        <c:gapWidth val="444"/>
        <c:overlap val="-90"/>
        <c:axId val="384470680"/>
        <c:axId val="384468720"/>
      </c:barChart>
      <c:catAx>
        <c:axId val="38447068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4468720"/>
        <c:crosses val="autoZero"/>
        <c:auto val="1"/>
        <c:lblAlgn val="ctr"/>
        <c:lblOffset val="100"/>
        <c:noMultiLvlLbl val="0"/>
      </c:catAx>
      <c:valAx>
        <c:axId val="384468720"/>
        <c:scaling>
          <c:orientation val="minMax"/>
        </c:scaling>
        <c:delete val="1"/>
        <c:axPos val="l"/>
        <c:numFmt formatCode="0%" sourceLinked="1"/>
        <c:majorTickMark val="none"/>
        <c:minorTickMark val="none"/>
        <c:tickLblPos val="none"/>
        <c:crossAx val="384470680"/>
        <c:crosses val="autoZero"/>
        <c:crossBetween val="between"/>
      </c:valAx>
      <c:spPr>
        <a:noFill/>
        <a:ln>
          <a:noFill/>
        </a:ln>
        <a:effectLst/>
      </c:spPr>
    </c:plotArea>
    <c:plotVisOnly val="1"/>
    <c:dispBlanksAs val="gap"/>
    <c:showDLblsOverMax val="0"/>
  </c:chart>
  <c:spPr>
    <a:solidFill>
      <a:schemeClr val="lt1"/>
    </a:solidFill>
    <a:ln w="9525" cap="flat" cmpd="sng" algn="ctr">
      <a:noFill/>
      <a:prstDash val="solid"/>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solidFill>
                  <a:srgbClr val="0070C0"/>
                </a:solidFill>
                <a:latin typeface="Browallia New" panose="020B0604020202020204" pitchFamily="34" charset="-34"/>
                <a:cs typeface="Browallia New" panose="020B0604020202020204" pitchFamily="34" charset="-34"/>
              </a:rPr>
              <a:t>Percentage of Organizations Designating Individual </a:t>
            </a:r>
          </a:p>
          <a:p>
            <a:pPr>
              <a:defRPr/>
            </a:pPr>
            <a:r>
              <a:rPr lang="en-US" sz="1200">
                <a:solidFill>
                  <a:srgbClr val="0070C0"/>
                </a:solidFill>
                <a:latin typeface="Browallia New" panose="020B0604020202020204" pitchFamily="34" charset="-34"/>
                <a:cs typeface="Browallia New" panose="020B0604020202020204" pitchFamily="34" charset="-34"/>
              </a:rPr>
              <a:t>as CRO or Equivalent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2014</c:v>
                </c:pt>
              </c:strCache>
            </c:strRef>
          </c:tx>
          <c:spPr>
            <a:solidFill>
              <a:srgbClr val="1A6DA6"/>
            </a:solidFill>
            <a:ln w="19050">
              <a:solidFill>
                <a:schemeClr val="accent2">
                  <a:lumMod val="75000"/>
                </a:schemeClr>
              </a:solidFill>
            </a:ln>
            <a:effectLst/>
          </c:spPr>
          <c:invertIfNegative val="0"/>
          <c:dPt>
            <c:idx val="0"/>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extLst>
              <c:ext xmlns:c16="http://schemas.microsoft.com/office/drawing/2014/chart" uri="{C3380CC4-5D6E-409C-BE32-E72D297353CC}">
                <c16:uniqueId val="{00000001-7CC8-486C-B7C3-4A33304ABD59}"/>
              </c:ext>
            </c:extLst>
          </c:dPt>
          <c:dPt>
            <c:idx val="1"/>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extLst>
              <c:ext xmlns:c16="http://schemas.microsoft.com/office/drawing/2014/chart" uri="{C3380CC4-5D6E-409C-BE32-E72D297353CC}">
                <c16:uniqueId val="{00000003-7CC8-486C-B7C3-4A33304ABD59}"/>
              </c:ext>
            </c:extLst>
          </c:dPt>
          <c:dPt>
            <c:idx val="2"/>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extLst>
              <c:ext xmlns:c16="http://schemas.microsoft.com/office/drawing/2014/chart" uri="{C3380CC4-5D6E-409C-BE32-E72D297353CC}">
                <c16:uniqueId val="{00000005-7CC8-486C-B7C3-4A33304ABD59}"/>
              </c:ext>
            </c:extLst>
          </c:dPt>
          <c:dPt>
            <c:idx val="3"/>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extLst>
              <c:ext xmlns:c16="http://schemas.microsoft.com/office/drawing/2014/chart" uri="{C3380CC4-5D6E-409C-BE32-E72D297353CC}">
                <c16:uniqueId val="{00000007-7CC8-486C-B7C3-4A33304ABD59}"/>
              </c:ext>
            </c:extLst>
          </c:dPt>
          <c:dPt>
            <c:idx val="4"/>
            <c:invertIfNegative val="0"/>
            <c:bubble3D val="0"/>
            <c:spPr>
              <a:gradFill flip="none" rotWithShape="1">
                <a:gsLst>
                  <a:gs pos="0">
                    <a:srgbClr val="1A6DA6">
                      <a:tint val="66000"/>
                      <a:satMod val="160000"/>
                    </a:srgbClr>
                  </a:gs>
                  <a:gs pos="50000">
                    <a:srgbClr val="1A6DA6">
                      <a:tint val="44500"/>
                      <a:satMod val="160000"/>
                    </a:srgbClr>
                  </a:gs>
                  <a:gs pos="100000">
                    <a:srgbClr val="1A6DA6">
                      <a:tint val="23500"/>
                      <a:satMod val="160000"/>
                    </a:srgbClr>
                  </a:gs>
                </a:gsLst>
                <a:path path="circle">
                  <a:fillToRect l="50000" t="50000" r="50000" b="50000"/>
                </a:path>
                <a:tileRect/>
              </a:gradFill>
              <a:ln w="19050">
                <a:solidFill>
                  <a:schemeClr val="accent2">
                    <a:lumMod val="75000"/>
                  </a:schemeClr>
                </a:solidFill>
              </a:ln>
              <a:effectLst/>
            </c:spPr>
            <c:extLst>
              <c:ext xmlns:c16="http://schemas.microsoft.com/office/drawing/2014/chart" uri="{C3380CC4-5D6E-409C-BE32-E72D297353CC}">
                <c16:uniqueId val="{00000009-7CC8-486C-B7C3-4A33304ABD59}"/>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Institutions</c:v>
                </c:pt>
                <c:pt idx="4">
                  <c:v>Not-for-Profit</c:v>
                </c:pt>
              </c:strCache>
            </c:strRef>
          </c:cat>
          <c:val>
            <c:numRef>
              <c:f>Sheet1!$B$2:$B$6</c:f>
              <c:numCache>
                <c:formatCode>0%</c:formatCode>
                <c:ptCount val="5"/>
                <c:pt idx="0">
                  <c:v>0.32000000000000006</c:v>
                </c:pt>
                <c:pt idx="1">
                  <c:v>0.49000000000000005</c:v>
                </c:pt>
                <c:pt idx="2">
                  <c:v>0.5</c:v>
                </c:pt>
                <c:pt idx="3">
                  <c:v>0.56000000000000005</c:v>
                </c:pt>
                <c:pt idx="4">
                  <c:v>0.22</c:v>
                </c:pt>
              </c:numCache>
            </c:numRef>
          </c:val>
          <c:extLst>
            <c:ext xmlns:c16="http://schemas.microsoft.com/office/drawing/2014/chart" uri="{C3380CC4-5D6E-409C-BE32-E72D297353CC}">
              <c16:uniqueId val="{00000000-6F55-0445-956F-896B9301ADA2}"/>
            </c:ext>
          </c:extLst>
        </c:ser>
        <c:ser>
          <c:idx val="2"/>
          <c:order val="1"/>
          <c:tx>
            <c:strRef>
              <c:f>Sheet1!$C$1</c:f>
              <c:strCache>
                <c:ptCount val="1"/>
                <c:pt idx="0">
                  <c:v>2015</c:v>
                </c:pt>
              </c:strCache>
            </c:strRef>
          </c:tx>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19050">
              <a:solidFill>
                <a:schemeClr val="accent4">
                  <a:lumMod val="75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Institutions</c:v>
                </c:pt>
                <c:pt idx="4">
                  <c:v>Not-for-Profit</c:v>
                </c:pt>
              </c:strCache>
            </c:strRef>
          </c:cat>
          <c:val>
            <c:numRef>
              <c:f>Sheet1!$C$2:$C$6</c:f>
              <c:numCache>
                <c:formatCode>0%</c:formatCode>
                <c:ptCount val="5"/>
                <c:pt idx="0">
                  <c:v>0.32000000000000006</c:v>
                </c:pt>
                <c:pt idx="1">
                  <c:v>0.55000000000000004</c:v>
                </c:pt>
                <c:pt idx="2">
                  <c:v>0.56999999999999995</c:v>
                </c:pt>
                <c:pt idx="3">
                  <c:v>0.56000000000000005</c:v>
                </c:pt>
                <c:pt idx="4">
                  <c:v>0.27</c:v>
                </c:pt>
              </c:numCache>
            </c:numRef>
          </c:val>
          <c:extLst>
            <c:ext xmlns:c16="http://schemas.microsoft.com/office/drawing/2014/chart" uri="{C3380CC4-5D6E-409C-BE32-E72D297353CC}">
              <c16:uniqueId val="{00000002-6F55-0445-956F-896B9301ADA2}"/>
            </c:ext>
          </c:extLst>
        </c:ser>
        <c:ser>
          <c:idx val="1"/>
          <c:order val="2"/>
          <c:tx>
            <c:strRef>
              <c:f>Sheet1!$D$1</c:f>
              <c:strCache>
                <c:ptCount val="1"/>
                <c:pt idx="0">
                  <c:v>2016</c:v>
                </c:pt>
              </c:strCache>
            </c:strRef>
          </c:tx>
          <c:spPr>
            <a:gradFill flip="none" rotWithShape="1">
              <a:gsLst>
                <a:gs pos="0">
                  <a:schemeClr val="accent2">
                    <a:lumMod val="75000"/>
                    <a:tint val="66000"/>
                    <a:satMod val="160000"/>
                  </a:schemeClr>
                </a:gs>
                <a:gs pos="50000">
                  <a:schemeClr val="accent2">
                    <a:lumMod val="75000"/>
                    <a:tint val="44500"/>
                    <a:satMod val="160000"/>
                  </a:schemeClr>
                </a:gs>
                <a:gs pos="100000">
                  <a:schemeClr val="accent2">
                    <a:lumMod val="75000"/>
                    <a:tint val="23500"/>
                    <a:satMod val="160000"/>
                  </a:schemeClr>
                </a:gs>
              </a:gsLst>
              <a:path path="circle">
                <a:fillToRect l="50000" t="50000" r="50000" b="50000"/>
              </a:path>
              <a:tileRect/>
            </a:gradFill>
            <a:ln w="19050">
              <a:solidFill>
                <a:srgbClr val="1A6DA6"/>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Institutions</c:v>
                </c:pt>
                <c:pt idx="4">
                  <c:v>Not-for-Profit</c:v>
                </c:pt>
              </c:strCache>
            </c:strRef>
          </c:cat>
          <c:val>
            <c:numRef>
              <c:f>Sheet1!$D$2:$D$6</c:f>
              <c:numCache>
                <c:formatCode>0%</c:formatCode>
                <c:ptCount val="5"/>
                <c:pt idx="0">
                  <c:v>0.42000000000000004</c:v>
                </c:pt>
                <c:pt idx="1">
                  <c:v>0.63000000000000012</c:v>
                </c:pt>
                <c:pt idx="2">
                  <c:v>0.63000000000000012</c:v>
                </c:pt>
                <c:pt idx="3">
                  <c:v>0.66000000000000014</c:v>
                </c:pt>
                <c:pt idx="4">
                  <c:v>0.35000000000000003</c:v>
                </c:pt>
              </c:numCache>
            </c:numRef>
          </c:val>
          <c:extLst>
            <c:ext xmlns:c16="http://schemas.microsoft.com/office/drawing/2014/chart" uri="{C3380CC4-5D6E-409C-BE32-E72D297353CC}">
              <c16:uniqueId val="{00000001-6F55-0445-956F-896B9301ADA2}"/>
            </c:ext>
          </c:extLst>
        </c:ser>
        <c:ser>
          <c:idx val="3"/>
          <c:order val="3"/>
          <c:tx>
            <c:strRef>
              <c:f>Sheet1!$E$1</c:f>
              <c:strCache>
                <c:ptCount val="1"/>
                <c:pt idx="0">
                  <c:v>2017</c:v>
                </c:pt>
              </c:strCache>
            </c:strRef>
          </c:tx>
          <c:spPr>
            <a:gradFill flip="none" rotWithShape="1">
              <a:gsLst>
                <a:gs pos="0">
                  <a:schemeClr val="accent4">
                    <a:lumMod val="75000"/>
                    <a:tint val="66000"/>
                    <a:satMod val="160000"/>
                  </a:schemeClr>
                </a:gs>
                <a:gs pos="50000">
                  <a:schemeClr val="accent4">
                    <a:lumMod val="75000"/>
                    <a:tint val="44500"/>
                    <a:satMod val="160000"/>
                  </a:schemeClr>
                </a:gs>
                <a:gs pos="100000">
                  <a:schemeClr val="accent4">
                    <a:lumMod val="75000"/>
                    <a:tint val="23500"/>
                    <a:satMod val="160000"/>
                  </a:schemeClr>
                </a:gs>
              </a:gsLst>
              <a:path path="circle">
                <a:fillToRect l="50000" t="50000" r="50000" b="50000"/>
              </a:path>
              <a:tileRect/>
            </a:gradFill>
            <a:ln w="19050">
              <a:solidFill>
                <a:srgbClr val="7030A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1A6DA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Full Sample</c:v>
                </c:pt>
                <c:pt idx="1">
                  <c:v>Large Organizations</c:v>
                </c:pt>
                <c:pt idx="2">
                  <c:v>Public Companies</c:v>
                </c:pt>
                <c:pt idx="3">
                  <c:v>Financial Institutions</c:v>
                </c:pt>
                <c:pt idx="4">
                  <c:v>Not-for-Profit</c:v>
                </c:pt>
              </c:strCache>
            </c:strRef>
          </c:cat>
          <c:val>
            <c:numRef>
              <c:f>Sheet1!$E$2:$E$6</c:f>
              <c:numCache>
                <c:formatCode>0%</c:formatCode>
                <c:ptCount val="5"/>
                <c:pt idx="0">
                  <c:v>0.48000000000000004</c:v>
                </c:pt>
                <c:pt idx="1">
                  <c:v>0.67000000000000015</c:v>
                </c:pt>
                <c:pt idx="2">
                  <c:v>0.63000000000000012</c:v>
                </c:pt>
                <c:pt idx="3">
                  <c:v>0.68</c:v>
                </c:pt>
                <c:pt idx="4">
                  <c:v>0.46</c:v>
                </c:pt>
              </c:numCache>
            </c:numRef>
          </c:val>
          <c:extLst>
            <c:ext xmlns:c16="http://schemas.microsoft.com/office/drawing/2014/chart" uri="{C3380CC4-5D6E-409C-BE32-E72D297353CC}">
              <c16:uniqueId val="{0000000A-7CC8-486C-B7C3-4A33304ABD59}"/>
            </c:ext>
          </c:extLst>
        </c:ser>
        <c:dLbls>
          <c:showLegendKey val="0"/>
          <c:showVal val="1"/>
          <c:showCatName val="0"/>
          <c:showSerName val="0"/>
          <c:showPercent val="0"/>
          <c:showBubbleSize val="0"/>
        </c:dLbls>
        <c:gapWidth val="444"/>
        <c:overlap val="-90"/>
        <c:axId val="382328576"/>
        <c:axId val="382327792"/>
      </c:barChart>
      <c:catAx>
        <c:axId val="382328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2327792"/>
        <c:crosses val="autoZero"/>
        <c:auto val="1"/>
        <c:lblAlgn val="ctr"/>
        <c:lblOffset val="100"/>
        <c:noMultiLvlLbl val="0"/>
      </c:catAx>
      <c:valAx>
        <c:axId val="382327792"/>
        <c:scaling>
          <c:orientation val="minMax"/>
        </c:scaling>
        <c:delete val="1"/>
        <c:axPos val="l"/>
        <c:numFmt formatCode="0%" sourceLinked="1"/>
        <c:majorTickMark val="none"/>
        <c:minorTickMark val="none"/>
        <c:tickLblPos val="none"/>
        <c:crossAx val="382328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cdr:x>
      <cdr:y>0</cdr:y>
    </cdr:from>
    <cdr:to>
      <cdr:x>1</cdr:x>
      <cdr:y>0.16931</cdr:y>
    </cdr:to>
    <cdr:sp macro="" textlink="">
      <cdr:nvSpPr>
        <cdr:cNvPr id="2" name="TextBox 1"/>
        <cdr:cNvSpPr txBox="1"/>
      </cdr:nvSpPr>
      <cdr:spPr>
        <a:xfrm xmlns:a="http://schemas.openxmlformats.org/drawingml/2006/main">
          <a:off x="-914400" y="0"/>
          <a:ext cx="5913120" cy="5986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baseline="0">
              <a:solidFill>
                <a:srgbClr val="0070C0"/>
              </a:solidFill>
              <a:latin typeface="Browallia New" panose="020B0604020202020204" pitchFamily="34" charset="-34"/>
              <a:cs typeface="Browallia New" panose="020B0604020202020204" pitchFamily="34" charset="-34"/>
            </a:rPr>
            <a:t>Degree of Satisfaction with Reporting of </a:t>
          </a:r>
        </a:p>
        <a:p xmlns:a="http://schemas.openxmlformats.org/drawingml/2006/main">
          <a:pPr algn="ctr"/>
          <a:r>
            <a:rPr lang="en-US" sz="1200" b="1" baseline="0">
              <a:solidFill>
                <a:srgbClr val="0070C0"/>
              </a:solidFill>
              <a:latin typeface="Browallia New" panose="020B0604020202020204" pitchFamily="34" charset="-34"/>
              <a:cs typeface="Browallia New" panose="020B0604020202020204" pitchFamily="34" charset="-34"/>
            </a:rPr>
            <a:t>Indicators About Key Risks</a:t>
          </a:r>
          <a:endParaRPr lang="en-US" sz="1200" b="1">
            <a:solidFill>
              <a:srgbClr val="0070C0"/>
            </a:solidFill>
            <a:latin typeface="Browallia New" panose="020B0604020202020204" pitchFamily="34" charset="-34"/>
            <a:cs typeface="Browallia New" panose="020B0604020202020204" pitchFamily="34" charset="-34"/>
          </a:endParaRPr>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www.erm.ncsu.edu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086B6F-28CE-46D6-8562-11874D11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11468</Words>
  <Characters>65368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Current State of Enterprise Risk Oversight:  Where We Are and Opportunities for Improvement</vt:lpstr>
    </vt:vector>
  </TitlesOfParts>
  <Company>Research Conducted by the ERM Initiative at NC State</Company>
  <LinksUpToDate>false</LinksUpToDate>
  <CharactersWithSpaces>76683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State of Enterprise Risk Oversight:  Where We Are and Opportunities for Improvement</dc:title>
  <dc:subject>Conducted on Behalf of the American Institute of CPAs Business, Industry &amp; Government Team</dc:subject>
  <dc:creator>Mark Beasley                       Bruce Branson                     Bonnie Hancock</dc:creator>
  <cp:lastModifiedBy>Thuy Nguyen</cp:lastModifiedBy>
  <cp:revision>5</cp:revision>
  <cp:lastPrinted>2018-03-21T18:49:00Z</cp:lastPrinted>
  <dcterms:created xsi:type="dcterms:W3CDTF">2026-03-14T18:57:00Z</dcterms:created>
  <dcterms:modified xsi:type="dcterms:W3CDTF">2026-03-14T19:37:00Z</dcterms:modified>
</cp:coreProperties>
</file>