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D74C9" w14:textId="4CAA487A" w:rsidR="00E40E15" w:rsidRPr="00EB3C2F" w:rsidRDefault="00E40E15" w:rsidP="00E40E15">
      <w:pPr>
        <w:rPr>
          <w:rFonts w:ascii="Aptos Body" w:hAnsi="Aptos Body"/>
        </w:rPr>
      </w:pPr>
      <w:r w:rsidRPr="00EB3C2F">
        <w:rPr>
          <w:rFonts w:ascii="Aptos Body" w:hAnsi="Aptos Body"/>
          <w:noProof/>
        </w:rPr>
        <w:drawing>
          <wp:inline distT="0" distB="0" distL="0" distR="0" wp14:anchorId="3BAB3D92" wp14:editId="752E1F5C">
            <wp:extent cx="2057400" cy="381000"/>
            <wp:effectExtent l="0" t="0" r="0" b="0"/>
            <wp:docPr id="710451496" name="Picture 2" descr="Logo of NC State Poole College of Management Enterprise Risk Management Initiative featuring a red rectangular block with white text &quot;NC STATE&quot; and black text for the remaining words on a white background. The design emphasizes institutional branding for a risk management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451496" name="Picture 2" descr="Logo of NC State Poole College of Management Enterprise Risk Management Initiative featuring a red rectangular block with white text &quot;NC STATE&quot; and black text for the remaining words on a white background. The design emphasizes institutional branding for a risk management program."/>
                    <pic:cNvPicPr/>
                  </pic:nvPicPr>
                  <pic:blipFill>
                    <a:blip r:embed="rId7">
                      <a:extLst>
                        <a:ext uri="{28A0092B-C50C-407E-A947-70E740481C1C}">
                          <a14:useLocalDpi xmlns:a14="http://schemas.microsoft.com/office/drawing/2010/main" val="0"/>
                        </a:ext>
                      </a:extLst>
                    </a:blip>
                    <a:stretch>
                      <a:fillRect/>
                    </a:stretch>
                  </pic:blipFill>
                  <pic:spPr>
                    <a:xfrm>
                      <a:off x="0" y="0"/>
                      <a:ext cx="2057400" cy="381000"/>
                    </a:xfrm>
                    <a:prstGeom prst="rect">
                      <a:avLst/>
                    </a:prstGeom>
                  </pic:spPr>
                </pic:pic>
              </a:graphicData>
            </a:graphic>
          </wp:inline>
        </w:drawing>
      </w:r>
    </w:p>
    <w:p w14:paraId="4C9FAE4C" w14:textId="782915F7" w:rsidR="00C0196D" w:rsidRPr="00D543FC" w:rsidRDefault="00D769B3" w:rsidP="00194959">
      <w:pPr>
        <w:pStyle w:val="Title"/>
        <w:rPr>
          <w:sz w:val="40"/>
          <w:szCs w:val="40"/>
        </w:rPr>
      </w:pPr>
      <w:r>
        <w:rPr>
          <w:sz w:val="40"/>
          <w:szCs w:val="40"/>
        </w:rPr>
        <w:t>The Risks of Persuasion</w:t>
      </w:r>
    </w:p>
    <w:p w14:paraId="36FBA0CA" w14:textId="0893F9F1" w:rsidR="00D769B3" w:rsidRPr="00D769B3" w:rsidRDefault="00E40E15" w:rsidP="00D769B3">
      <w:pPr>
        <w:spacing w:after="0"/>
        <w:rPr>
          <w:rFonts w:ascii="Aptos Body" w:hAnsi="Aptos Body"/>
          <w:bCs/>
          <w:sz w:val="24"/>
          <w:szCs w:val="24"/>
        </w:rPr>
      </w:pPr>
      <w:r w:rsidRPr="00D0327C">
        <w:rPr>
          <w:rFonts w:ascii="Aptos Body" w:hAnsi="Aptos Body"/>
          <w:b w:val="0"/>
          <w:bCs/>
          <w:sz w:val="24"/>
          <w:szCs w:val="24"/>
        </w:rPr>
        <w:t xml:space="preserve">By </w:t>
      </w:r>
      <w:r w:rsidR="00D769B3" w:rsidRPr="00D769B3">
        <w:rPr>
          <w:rFonts w:ascii="Aptos Body" w:hAnsi="Aptos Body"/>
          <w:bCs/>
          <w:sz w:val="24"/>
          <w:szCs w:val="24"/>
        </w:rPr>
        <w:t xml:space="preserve"> Jeffrey M. Pollack</w:t>
      </w:r>
      <w:r w:rsidR="00D769B3">
        <w:rPr>
          <w:rFonts w:ascii="Aptos Body" w:hAnsi="Aptos Body"/>
          <w:bCs/>
          <w:sz w:val="24"/>
          <w:szCs w:val="24"/>
        </w:rPr>
        <w:t xml:space="preserve">, </w:t>
      </w:r>
      <w:r w:rsidR="00D769B3" w:rsidRPr="00D769B3">
        <w:rPr>
          <w:rFonts w:ascii="Aptos Body" w:hAnsi="Aptos Body"/>
          <w:bCs/>
          <w:sz w:val="24"/>
          <w:szCs w:val="24"/>
        </w:rPr>
        <w:t>Associate Professor in Entrepreneurship</w:t>
      </w:r>
    </w:p>
    <w:p w14:paraId="7A57DB92" w14:textId="6E54369A" w:rsidR="004B5A0D" w:rsidRDefault="00D769B3" w:rsidP="00D769B3">
      <w:pPr>
        <w:spacing w:after="0"/>
        <w:rPr>
          <w:rFonts w:ascii="Aptos Body" w:hAnsi="Aptos Body"/>
          <w:bCs/>
          <w:sz w:val="24"/>
          <w:szCs w:val="24"/>
        </w:rPr>
      </w:pPr>
      <w:r w:rsidRPr="00D769B3">
        <w:rPr>
          <w:rFonts w:ascii="Aptos Body" w:hAnsi="Aptos Body"/>
          <w:bCs/>
          <w:sz w:val="24"/>
          <w:szCs w:val="24"/>
        </w:rPr>
        <w:t>NC State University Poole College of Management</w:t>
      </w:r>
    </w:p>
    <w:p w14:paraId="26119B19" w14:textId="77777777" w:rsidR="00427E1B" w:rsidRPr="00427E1B" w:rsidRDefault="00427E1B" w:rsidP="00427E1B">
      <w:pPr>
        <w:pStyle w:val="Heading2"/>
      </w:pPr>
    </w:p>
    <w:p w14:paraId="57B2D5BB" w14:textId="02BE5DC6" w:rsidR="00427E1B" w:rsidRDefault="00427E1B" w:rsidP="00427E1B">
      <w:pPr>
        <w:pStyle w:val="Heading1"/>
      </w:pPr>
      <w:r w:rsidRPr="00427E1B">
        <w:t xml:space="preserve">You Persuade All the Time </w:t>
      </w:r>
    </w:p>
    <w:p w14:paraId="10848FC3" w14:textId="45F4B439" w:rsidR="00427E1B" w:rsidRPr="00427E1B" w:rsidRDefault="00427E1B" w:rsidP="00427E1B">
      <w:pPr>
        <w:rPr>
          <w:b w:val="0"/>
          <w:bCs/>
        </w:rPr>
      </w:pPr>
      <w:r w:rsidRPr="00427E1B">
        <w:rPr>
          <w:b w:val="0"/>
          <w:bCs/>
        </w:rPr>
        <w:t xml:space="preserve">Please take a moment and think back to the last time you tried to convince someone to do something that you wanted them to do. It might have been trying to convince your child to brush her teeth and put on her pajamas. It might have been trying to convince your co-worker to go where you wanted for lunch. Perhaps you recently tried to convince a member of management of the importance of engaging in a risk identification interview or workshop. </w:t>
      </w:r>
    </w:p>
    <w:p w14:paraId="488BE0D0" w14:textId="77777777" w:rsidR="00427E1B" w:rsidRPr="00427E1B" w:rsidRDefault="00427E1B" w:rsidP="00427E1B">
      <w:pPr>
        <w:rPr>
          <w:b w:val="0"/>
          <w:bCs/>
          <w:sz w:val="24"/>
          <w:szCs w:val="24"/>
        </w:rPr>
      </w:pPr>
      <w:r w:rsidRPr="00427E1B">
        <w:rPr>
          <w:b w:val="0"/>
          <w:bCs/>
          <w:sz w:val="24"/>
          <w:szCs w:val="24"/>
        </w:rPr>
        <w:t xml:space="preserve">My guess is that each of us can point to multiple times in the last week where we tried to persuade someone to </w:t>
      </w:r>
      <w:proofErr w:type="gramStart"/>
      <w:r w:rsidRPr="00427E1B">
        <w:rPr>
          <w:b w:val="0"/>
          <w:bCs/>
          <w:sz w:val="24"/>
          <w:szCs w:val="24"/>
        </w:rPr>
        <w:t>do some</w:t>
      </w:r>
      <w:r w:rsidRPr="00427E1B">
        <w:rPr>
          <w:b w:val="0"/>
          <w:bCs/>
          <w:sz w:val="24"/>
          <w:szCs w:val="24"/>
        </w:rPr>
        <w:softHyphen/>
        <w:t>thing</w:t>
      </w:r>
      <w:proofErr w:type="gramEnd"/>
      <w:r w:rsidRPr="00427E1B">
        <w:rPr>
          <w:b w:val="0"/>
          <w:bCs/>
          <w:sz w:val="24"/>
          <w:szCs w:val="24"/>
        </w:rPr>
        <w:t>. Not all of these are high-stakes situations (where jobs or lives are on the line). Not all of them involve ERM deci</w:t>
      </w:r>
      <w:r w:rsidRPr="00427E1B">
        <w:rPr>
          <w:b w:val="0"/>
          <w:bCs/>
          <w:sz w:val="24"/>
          <w:szCs w:val="24"/>
        </w:rPr>
        <w:softHyphen/>
        <w:t xml:space="preserve">sions where the fate of a company or organization hinges on the ability of you persuading a key stakeholder to engage in robust risk management thinking. </w:t>
      </w:r>
      <w:proofErr w:type="gramStart"/>
      <w:r w:rsidRPr="00427E1B">
        <w:rPr>
          <w:b w:val="0"/>
          <w:bCs/>
          <w:sz w:val="24"/>
          <w:szCs w:val="24"/>
        </w:rPr>
        <w:t>But,</w:t>
      </w:r>
      <w:proofErr w:type="gramEnd"/>
      <w:r w:rsidRPr="00427E1B">
        <w:rPr>
          <w:b w:val="0"/>
          <w:bCs/>
          <w:sz w:val="24"/>
          <w:szCs w:val="24"/>
        </w:rPr>
        <w:t xml:space="preserve"> all of them can end badly (i.e., you do convince a business leader about the ben</w:t>
      </w:r>
      <w:r w:rsidRPr="00427E1B">
        <w:rPr>
          <w:b w:val="0"/>
          <w:bCs/>
          <w:sz w:val="24"/>
          <w:szCs w:val="24"/>
        </w:rPr>
        <w:softHyphen/>
        <w:t>efits of proactive risk thinking—a company eventually fails in response to a persuasive opportunity gone wrong). Luckily, for us, there is a vast literature on persuasion and how we can all become better at sharing our ideas with other people.</w:t>
      </w:r>
    </w:p>
    <w:p w14:paraId="393C7583" w14:textId="77777777" w:rsidR="00427E1B" w:rsidRPr="00427E1B" w:rsidRDefault="00427E1B" w:rsidP="00427E1B">
      <w:pPr>
        <w:pStyle w:val="Heading1"/>
      </w:pPr>
      <w:r w:rsidRPr="00427E1B">
        <w:t>The Elements of Persuasion</w:t>
      </w:r>
    </w:p>
    <w:p w14:paraId="5F74F648" w14:textId="77777777" w:rsidR="00427E1B" w:rsidRPr="00427E1B" w:rsidRDefault="00427E1B" w:rsidP="00427E1B">
      <w:pPr>
        <w:rPr>
          <w:b w:val="0"/>
          <w:bCs/>
          <w:sz w:val="24"/>
          <w:szCs w:val="24"/>
        </w:rPr>
      </w:pPr>
      <w:r w:rsidRPr="00427E1B">
        <w:rPr>
          <w:b w:val="0"/>
          <w:bCs/>
          <w:sz w:val="24"/>
          <w:szCs w:val="24"/>
        </w:rPr>
        <w:t xml:space="preserve">Monroe’s Motivated Sequence outlines five clear steps that can lead to more effective persuasion: (1) attention, (2) need, (3) satisfaction, (4) visualization, and (5) call to action. Let’s walk through each step individually. </w:t>
      </w:r>
    </w:p>
    <w:p w14:paraId="2519243D" w14:textId="77777777" w:rsidR="00427E1B" w:rsidRPr="00427E1B" w:rsidRDefault="00427E1B" w:rsidP="00427E1B">
      <w:pPr>
        <w:pStyle w:val="Heading2"/>
      </w:pPr>
      <w:r w:rsidRPr="00427E1B">
        <w:t>1. Get their Attention</w:t>
      </w:r>
    </w:p>
    <w:p w14:paraId="50900A35" w14:textId="77777777" w:rsidR="00427E1B" w:rsidRPr="00427E1B" w:rsidRDefault="00427E1B" w:rsidP="00427E1B">
      <w:pPr>
        <w:rPr>
          <w:b w:val="0"/>
          <w:bCs/>
          <w:sz w:val="24"/>
          <w:szCs w:val="24"/>
        </w:rPr>
      </w:pPr>
      <w:r w:rsidRPr="00427E1B">
        <w:rPr>
          <w:b w:val="0"/>
          <w:bCs/>
          <w:sz w:val="24"/>
          <w:szCs w:val="24"/>
        </w:rPr>
        <w:t xml:space="preserve">First, to have any chance of persuading effectively you </w:t>
      </w:r>
      <w:proofErr w:type="gramStart"/>
      <w:r w:rsidRPr="00427E1B">
        <w:rPr>
          <w:b w:val="0"/>
          <w:bCs/>
          <w:sz w:val="24"/>
          <w:szCs w:val="24"/>
        </w:rPr>
        <w:t>have to</w:t>
      </w:r>
      <w:proofErr w:type="gramEnd"/>
      <w:r w:rsidRPr="00427E1B">
        <w:rPr>
          <w:b w:val="0"/>
          <w:bCs/>
          <w:sz w:val="24"/>
          <w:szCs w:val="24"/>
        </w:rPr>
        <w:t xml:space="preserve"> get the audience’s attention—you </w:t>
      </w:r>
      <w:proofErr w:type="gramStart"/>
      <w:r w:rsidRPr="00427E1B">
        <w:rPr>
          <w:b w:val="0"/>
          <w:bCs/>
          <w:sz w:val="24"/>
          <w:szCs w:val="24"/>
        </w:rPr>
        <w:t>have to</w:t>
      </w:r>
      <w:proofErr w:type="gramEnd"/>
      <w:r w:rsidRPr="00427E1B">
        <w:rPr>
          <w:b w:val="0"/>
          <w:bCs/>
          <w:sz w:val="24"/>
          <w:szCs w:val="24"/>
        </w:rPr>
        <w:t xml:space="preserve"> over</w:t>
      </w:r>
      <w:r w:rsidRPr="00427E1B">
        <w:rPr>
          <w:b w:val="0"/>
          <w:bCs/>
          <w:sz w:val="24"/>
          <w:szCs w:val="24"/>
        </w:rPr>
        <w:softHyphen/>
      </w:r>
      <w:proofErr w:type="gramStart"/>
      <w:r w:rsidRPr="00427E1B">
        <w:rPr>
          <w:b w:val="0"/>
          <w:bCs/>
          <w:sz w:val="24"/>
          <w:szCs w:val="24"/>
        </w:rPr>
        <w:t>come</w:t>
      </w:r>
      <w:proofErr w:type="gramEnd"/>
      <w:r w:rsidRPr="00427E1B">
        <w:rPr>
          <w:b w:val="0"/>
          <w:bCs/>
          <w:sz w:val="24"/>
          <w:szCs w:val="24"/>
        </w:rPr>
        <w:t xml:space="preserve"> the desire for a listener to be apathetic and tune you out. In the digital and mobile environment in which we live, you </w:t>
      </w:r>
      <w:proofErr w:type="gramStart"/>
      <w:r w:rsidRPr="00427E1B">
        <w:rPr>
          <w:b w:val="0"/>
          <w:bCs/>
          <w:sz w:val="24"/>
          <w:szCs w:val="24"/>
        </w:rPr>
        <w:t>have to</w:t>
      </w:r>
      <w:proofErr w:type="gramEnd"/>
      <w:r w:rsidRPr="00427E1B">
        <w:rPr>
          <w:b w:val="0"/>
          <w:bCs/>
          <w:sz w:val="24"/>
          <w:szCs w:val="24"/>
        </w:rPr>
        <w:t xml:space="preserve"> convince someone that you have something that is worth listening to. Among the options that capture an audience’s attention effectively, some of the best include telling a quick (and relevant) story, </w:t>
      </w:r>
      <w:proofErr w:type="gramStart"/>
      <w:r w:rsidRPr="00427E1B">
        <w:rPr>
          <w:b w:val="0"/>
          <w:bCs/>
          <w:sz w:val="24"/>
          <w:szCs w:val="24"/>
        </w:rPr>
        <w:t>share</w:t>
      </w:r>
      <w:proofErr w:type="gramEnd"/>
      <w:r w:rsidRPr="00427E1B">
        <w:rPr>
          <w:b w:val="0"/>
          <w:bCs/>
          <w:sz w:val="24"/>
          <w:szCs w:val="24"/>
        </w:rPr>
        <w:t xml:space="preserve"> a startling statistic or fact, or providing some engaging conclusion from data. This may be </w:t>
      </w:r>
      <w:proofErr w:type="gramStart"/>
      <w:r w:rsidRPr="00427E1B">
        <w:rPr>
          <w:b w:val="0"/>
          <w:bCs/>
          <w:sz w:val="24"/>
          <w:szCs w:val="24"/>
        </w:rPr>
        <w:t>a simple</w:t>
      </w:r>
      <w:proofErr w:type="gramEnd"/>
      <w:r w:rsidRPr="00427E1B">
        <w:rPr>
          <w:b w:val="0"/>
          <w:bCs/>
          <w:sz w:val="24"/>
          <w:szCs w:val="24"/>
        </w:rPr>
        <w:t xml:space="preserve"> as sharing information about </w:t>
      </w:r>
      <w:proofErr w:type="gramStart"/>
      <w:r w:rsidRPr="00427E1B">
        <w:rPr>
          <w:b w:val="0"/>
          <w:bCs/>
          <w:sz w:val="24"/>
          <w:szCs w:val="24"/>
        </w:rPr>
        <w:t>a disastrous</w:t>
      </w:r>
      <w:proofErr w:type="gramEnd"/>
      <w:r w:rsidRPr="00427E1B">
        <w:rPr>
          <w:b w:val="0"/>
          <w:bCs/>
          <w:sz w:val="24"/>
          <w:szCs w:val="24"/>
        </w:rPr>
        <w:t xml:space="preserve"> handling of a risk event affecting management at another company.</w:t>
      </w:r>
    </w:p>
    <w:p w14:paraId="40E4691F" w14:textId="77777777" w:rsidR="00427E1B" w:rsidRPr="00427E1B" w:rsidRDefault="00427E1B" w:rsidP="00427E1B">
      <w:pPr>
        <w:pStyle w:val="Heading2"/>
      </w:pPr>
      <w:r w:rsidRPr="00427E1B">
        <w:lastRenderedPageBreak/>
        <w:t>2. Demonstrate a Need</w:t>
      </w:r>
    </w:p>
    <w:p w14:paraId="15A1AA3F" w14:textId="77777777" w:rsidR="00427E1B" w:rsidRPr="00427E1B" w:rsidRDefault="00427E1B" w:rsidP="00427E1B">
      <w:pPr>
        <w:rPr>
          <w:b w:val="0"/>
          <w:bCs/>
          <w:sz w:val="24"/>
          <w:szCs w:val="24"/>
        </w:rPr>
      </w:pPr>
      <w:r w:rsidRPr="00427E1B">
        <w:rPr>
          <w:b w:val="0"/>
          <w:bCs/>
          <w:sz w:val="24"/>
          <w:szCs w:val="24"/>
        </w:rPr>
        <w:t>Second, you must demonstrate a need in the audience. This need must be relevant and quantifiable in some way. Demonstrating a need involves evoking an emo</w:t>
      </w:r>
      <w:r w:rsidRPr="00427E1B">
        <w:rPr>
          <w:b w:val="0"/>
          <w:bCs/>
          <w:sz w:val="24"/>
          <w:szCs w:val="24"/>
        </w:rPr>
        <w:softHyphen/>
        <w:t>tion in the audience—for example, effective emotions to evoke include urgency, excitement, and/or curiosity. This step, of demonstrating a need and evoking an emotion</w:t>
      </w:r>
      <w:r w:rsidRPr="00427E1B">
        <w:rPr>
          <w:b w:val="0"/>
          <w:bCs/>
          <w:sz w:val="24"/>
          <w:szCs w:val="24"/>
        </w:rPr>
        <w:softHyphen/>
        <w:t>al response in your audience, opens the door to being able to persuade them to see the world the way you do; demonstrating a need illustrates the relevance of what you are saying to the audience and makes it likely they will listen to what you have to say. Perhaps a simple “what if” question about how prepared they are to handle a particular risk event should it occur in their area of re</w:t>
      </w:r>
      <w:r w:rsidRPr="00427E1B">
        <w:rPr>
          <w:b w:val="0"/>
          <w:bCs/>
          <w:sz w:val="24"/>
          <w:szCs w:val="24"/>
        </w:rPr>
        <w:softHyphen/>
        <w:t>sponsibility.</w:t>
      </w:r>
    </w:p>
    <w:p w14:paraId="760D0082" w14:textId="77777777" w:rsidR="00427E1B" w:rsidRPr="00427E1B" w:rsidRDefault="00427E1B" w:rsidP="00427E1B">
      <w:pPr>
        <w:pStyle w:val="Heading2"/>
      </w:pPr>
      <w:r w:rsidRPr="00427E1B">
        <w:t xml:space="preserve">3. </w:t>
      </w:r>
      <w:proofErr w:type="gramStart"/>
      <w:r w:rsidRPr="00427E1B">
        <w:t>Satisfy</w:t>
      </w:r>
      <w:proofErr w:type="gramEnd"/>
      <w:r w:rsidRPr="00427E1B">
        <w:t xml:space="preserve"> the Need</w:t>
      </w:r>
    </w:p>
    <w:p w14:paraId="74F76791" w14:textId="547E50C2" w:rsidR="00427E1B" w:rsidRPr="00427E1B" w:rsidRDefault="00427E1B" w:rsidP="00427E1B">
      <w:pPr>
        <w:rPr>
          <w:sz w:val="24"/>
          <w:szCs w:val="24"/>
        </w:rPr>
      </w:pPr>
      <w:r w:rsidRPr="00427E1B">
        <w:rPr>
          <w:b w:val="0"/>
          <w:bCs/>
          <w:sz w:val="24"/>
          <w:szCs w:val="24"/>
        </w:rPr>
        <w:t>In the third step, you provide a way to satisfy the need you created in the audience. This continues the persua</w:t>
      </w:r>
      <w:r w:rsidRPr="00427E1B">
        <w:rPr>
          <w:b w:val="0"/>
          <w:bCs/>
          <w:sz w:val="24"/>
          <w:szCs w:val="24"/>
        </w:rPr>
        <w:softHyphen/>
        <w:t xml:space="preserve">sive process—step 1 gets their attention, </w:t>
      </w:r>
      <w:proofErr w:type="gramStart"/>
      <w:r w:rsidRPr="00427E1B">
        <w:rPr>
          <w:b w:val="0"/>
          <w:bCs/>
          <w:sz w:val="24"/>
          <w:szCs w:val="24"/>
        </w:rPr>
        <w:t>step</w:t>
      </w:r>
      <w:proofErr w:type="gramEnd"/>
      <w:r w:rsidRPr="00427E1B">
        <w:rPr>
          <w:b w:val="0"/>
          <w:bCs/>
          <w:sz w:val="24"/>
          <w:szCs w:val="24"/>
        </w:rPr>
        <w:t xml:space="preserve"> 2 dem</w:t>
      </w:r>
      <w:r w:rsidRPr="00427E1B">
        <w:rPr>
          <w:b w:val="0"/>
          <w:bCs/>
          <w:sz w:val="24"/>
          <w:szCs w:val="24"/>
        </w:rPr>
        <w:softHyphen/>
        <w:t xml:space="preserve">onstrates your relevance, and this step proves that you are the person who can help address the </w:t>
      </w:r>
      <w:proofErr w:type="gramStart"/>
      <w:r w:rsidRPr="00427E1B">
        <w:rPr>
          <w:b w:val="0"/>
          <w:bCs/>
          <w:sz w:val="24"/>
          <w:szCs w:val="24"/>
        </w:rPr>
        <w:t>need</w:t>
      </w:r>
      <w:proofErr w:type="gramEnd"/>
      <w:r w:rsidRPr="00427E1B">
        <w:rPr>
          <w:b w:val="0"/>
          <w:bCs/>
          <w:sz w:val="24"/>
          <w:szCs w:val="24"/>
        </w:rPr>
        <w:t xml:space="preserve"> you’ve identified. To effectively convince the audience that you can help to solve their problem (or help them capitalize on an opportunity) you need data—you need data on the audience, you need data on the solution, and you need data regarding the costs and implementation of the pro</w:t>
      </w:r>
      <w:r w:rsidRPr="00427E1B">
        <w:rPr>
          <w:b w:val="0"/>
          <w:bCs/>
          <w:sz w:val="24"/>
          <w:szCs w:val="24"/>
        </w:rPr>
        <w:softHyphen/>
        <w:t xml:space="preserve">posed solution. For the audience, you need data on their needs, wants, as well as capabilities and limitations. For the solution, you need to know—prior to the interaction—what the response to the solution will be. Thus, you need to have clear evidence that (a) the solution will work, and (b) the solution is desirable by the audience and/or a stakeholder that is important enough to be influential to the audience. Specific information on the solution is also needed. Often, a short implementation timeline is an effective tool to demonstrate that you’ve done </w:t>
      </w:r>
      <w:proofErr w:type="gramStart"/>
      <w:r w:rsidRPr="00427E1B">
        <w:rPr>
          <w:b w:val="0"/>
          <w:bCs/>
          <w:sz w:val="24"/>
          <w:szCs w:val="24"/>
        </w:rPr>
        <w:t>your home</w:t>
      </w:r>
      <w:r w:rsidRPr="00427E1B">
        <w:rPr>
          <w:b w:val="0"/>
          <w:bCs/>
          <w:sz w:val="24"/>
          <w:szCs w:val="24"/>
        </w:rPr>
        <w:softHyphen/>
        <w:t>work</w:t>
      </w:r>
      <w:proofErr w:type="gramEnd"/>
      <w:r w:rsidRPr="00427E1B">
        <w:rPr>
          <w:b w:val="0"/>
          <w:bCs/>
          <w:sz w:val="24"/>
          <w:szCs w:val="24"/>
        </w:rPr>
        <w:t xml:space="preserve">. Maybe this step involves your sharing “quick wins” of others across the organization who have engaged in more robust risk thinking. </w:t>
      </w:r>
    </w:p>
    <w:p w14:paraId="524D1757" w14:textId="77777777" w:rsidR="00427E1B" w:rsidRPr="00427E1B" w:rsidRDefault="00427E1B" w:rsidP="00427E1B">
      <w:pPr>
        <w:pStyle w:val="Heading2"/>
      </w:pPr>
      <w:r w:rsidRPr="00427E1B">
        <w:t xml:space="preserve">4. Visualize the World the </w:t>
      </w:r>
      <w:proofErr w:type="gramStart"/>
      <w:r w:rsidRPr="00427E1B">
        <w:t>Way</w:t>
      </w:r>
      <w:proofErr w:type="gramEnd"/>
      <w:r w:rsidRPr="00427E1B">
        <w:t xml:space="preserve"> You See It </w:t>
      </w:r>
    </w:p>
    <w:p w14:paraId="72855392" w14:textId="77777777" w:rsidR="00427E1B" w:rsidRPr="00427E1B" w:rsidRDefault="00427E1B" w:rsidP="00427E1B">
      <w:pPr>
        <w:rPr>
          <w:b w:val="0"/>
          <w:sz w:val="24"/>
          <w:szCs w:val="24"/>
        </w:rPr>
      </w:pPr>
      <w:r w:rsidRPr="00427E1B">
        <w:rPr>
          <w:b w:val="0"/>
          <w:sz w:val="24"/>
          <w:szCs w:val="24"/>
        </w:rPr>
        <w:t xml:space="preserve">The fourth step of Monroe’s Motivated Sequence is to enable </w:t>
      </w:r>
      <w:proofErr w:type="gramStart"/>
      <w:r w:rsidRPr="00427E1B">
        <w:rPr>
          <w:b w:val="0"/>
          <w:sz w:val="24"/>
          <w:szCs w:val="24"/>
        </w:rPr>
        <w:t>to</w:t>
      </w:r>
      <w:proofErr w:type="gramEnd"/>
      <w:r w:rsidRPr="00427E1B">
        <w:rPr>
          <w:b w:val="0"/>
          <w:sz w:val="24"/>
          <w:szCs w:val="24"/>
        </w:rPr>
        <w:t xml:space="preserve"> audience to visualize the world the way that you see it—they get to visualize the future world that could exist if they do what you want. Here, let them see the world through your eyes. This is, in short, a thought exercise where the audience gets to compare the sta</w:t>
      </w:r>
      <w:r w:rsidRPr="00427E1B">
        <w:rPr>
          <w:b w:val="0"/>
          <w:sz w:val="24"/>
          <w:szCs w:val="24"/>
        </w:rPr>
        <w:softHyphen/>
        <w:t>tus quo—which you’ve asserted is non-optimal—to the future in which you’ve gotten their support and taken ac</w:t>
      </w:r>
      <w:r w:rsidRPr="00427E1B">
        <w:rPr>
          <w:b w:val="0"/>
          <w:sz w:val="24"/>
          <w:szCs w:val="24"/>
        </w:rPr>
        <w:softHyphen/>
        <w:t xml:space="preserve">tion. The more specific you can be the better. Are there more satisfied customers in the future, and maybe more revenue? Are there fewer instances of downtime related to technology? Perhaps better corporate governance? Maybe </w:t>
      </w:r>
      <w:proofErr w:type="gramStart"/>
      <w:r w:rsidRPr="00427E1B">
        <w:rPr>
          <w:b w:val="0"/>
          <w:sz w:val="24"/>
          <w:szCs w:val="24"/>
        </w:rPr>
        <w:t>decreased</w:t>
      </w:r>
      <w:proofErr w:type="gramEnd"/>
      <w:r w:rsidRPr="00427E1B">
        <w:rPr>
          <w:b w:val="0"/>
          <w:sz w:val="24"/>
          <w:szCs w:val="24"/>
        </w:rPr>
        <w:t xml:space="preserve"> risk to financial assets? Are there fewer customer complaints, and fewer product returns? Fewer </w:t>
      </w:r>
      <w:r w:rsidRPr="00427E1B">
        <w:rPr>
          <w:b w:val="0"/>
          <w:sz w:val="24"/>
          <w:szCs w:val="24"/>
        </w:rPr>
        <w:lastRenderedPageBreak/>
        <w:t>workplace injuries? Fewer lawsuits filed against the company? The visualization can be anything that the audience will find compelling about a future state in which their needs are addressed effectively. Maybe it is as simple as saying that engaging in proactive risk man</w:t>
      </w:r>
      <w:r w:rsidRPr="00427E1B">
        <w:rPr>
          <w:b w:val="0"/>
          <w:sz w:val="24"/>
          <w:szCs w:val="24"/>
        </w:rPr>
        <w:softHyphen/>
        <w:t xml:space="preserve">agement might help them sleep better at night! </w:t>
      </w:r>
    </w:p>
    <w:p w14:paraId="7FE4089D" w14:textId="77777777" w:rsidR="00427E1B" w:rsidRPr="00427E1B" w:rsidRDefault="00427E1B" w:rsidP="00427E1B">
      <w:pPr>
        <w:pStyle w:val="Heading2"/>
      </w:pPr>
      <w:r w:rsidRPr="00427E1B">
        <w:t xml:space="preserve">5. Provide a Call to Action </w:t>
      </w:r>
    </w:p>
    <w:p w14:paraId="6A2B638C" w14:textId="77777777" w:rsidR="00427E1B" w:rsidRPr="00427E1B" w:rsidRDefault="00427E1B" w:rsidP="00427E1B">
      <w:pPr>
        <w:rPr>
          <w:b w:val="0"/>
          <w:sz w:val="24"/>
          <w:szCs w:val="24"/>
        </w:rPr>
      </w:pPr>
      <w:r w:rsidRPr="00427E1B">
        <w:rPr>
          <w:b w:val="0"/>
          <w:sz w:val="24"/>
          <w:szCs w:val="24"/>
        </w:rPr>
        <w:t xml:space="preserve">The fifth, and final, step is to provide a call to action. It is here where you ask them to do what you want them to </w:t>
      </w:r>
      <w:proofErr w:type="gramStart"/>
      <w:r w:rsidRPr="00427E1B">
        <w:rPr>
          <w:b w:val="0"/>
          <w:sz w:val="24"/>
          <w:szCs w:val="24"/>
        </w:rPr>
        <w:t>do—</w:t>
      </w:r>
      <w:proofErr w:type="gramEnd"/>
      <w:r w:rsidRPr="00427E1B">
        <w:rPr>
          <w:b w:val="0"/>
          <w:sz w:val="24"/>
          <w:szCs w:val="24"/>
        </w:rPr>
        <w:t xml:space="preserve">make it as specific as </w:t>
      </w:r>
      <w:proofErr w:type="gramStart"/>
      <w:r w:rsidRPr="00427E1B">
        <w:rPr>
          <w:b w:val="0"/>
          <w:sz w:val="24"/>
          <w:szCs w:val="24"/>
        </w:rPr>
        <w:t>possible, and</w:t>
      </w:r>
      <w:proofErr w:type="gramEnd"/>
      <w:r w:rsidRPr="00427E1B">
        <w:rPr>
          <w:b w:val="0"/>
          <w:sz w:val="24"/>
          <w:szCs w:val="24"/>
        </w:rPr>
        <w:t xml:space="preserve"> make it as easy as possible for them to say yes. It is typical to frame your ask by offering a “SMART” action plan (Specific, </w:t>
      </w:r>
      <w:proofErr w:type="spellStart"/>
      <w:r w:rsidRPr="00427E1B">
        <w:rPr>
          <w:b w:val="0"/>
          <w:sz w:val="24"/>
          <w:szCs w:val="24"/>
        </w:rPr>
        <w:t>Measureable</w:t>
      </w:r>
      <w:proofErr w:type="spellEnd"/>
      <w:r w:rsidRPr="00427E1B">
        <w:rPr>
          <w:b w:val="0"/>
          <w:sz w:val="24"/>
          <w:szCs w:val="24"/>
        </w:rPr>
        <w:t xml:space="preserve">, Achievable, Results-Focused, and Time- Bound). Put differently, make sure that your </w:t>
      </w:r>
      <w:proofErr w:type="gramStart"/>
      <w:r w:rsidRPr="00427E1B">
        <w:rPr>
          <w:b w:val="0"/>
          <w:sz w:val="24"/>
          <w:szCs w:val="24"/>
        </w:rPr>
        <w:t>ask</w:t>
      </w:r>
      <w:proofErr w:type="gramEnd"/>
      <w:r w:rsidRPr="00427E1B">
        <w:rPr>
          <w:b w:val="0"/>
          <w:sz w:val="24"/>
          <w:szCs w:val="24"/>
        </w:rPr>
        <w:t xml:space="preserve"> is clear, can be confirmed, is possible, takes a positive step, and is </w:t>
      </w:r>
      <w:proofErr w:type="gramStart"/>
      <w:r w:rsidRPr="00427E1B">
        <w:rPr>
          <w:b w:val="0"/>
          <w:sz w:val="24"/>
          <w:szCs w:val="24"/>
        </w:rPr>
        <w:t>time-limited</w:t>
      </w:r>
      <w:proofErr w:type="gramEnd"/>
      <w:r w:rsidRPr="00427E1B">
        <w:rPr>
          <w:b w:val="0"/>
          <w:sz w:val="24"/>
          <w:szCs w:val="24"/>
        </w:rPr>
        <w:t xml:space="preserve">. Too often interpersonal interactions </w:t>
      </w:r>
      <w:proofErr w:type="gramStart"/>
      <w:r w:rsidRPr="00427E1B">
        <w:rPr>
          <w:b w:val="0"/>
          <w:sz w:val="24"/>
          <w:szCs w:val="24"/>
        </w:rPr>
        <w:t>end</w:t>
      </w:r>
      <w:proofErr w:type="gramEnd"/>
      <w:r w:rsidRPr="00427E1B">
        <w:rPr>
          <w:b w:val="0"/>
          <w:sz w:val="24"/>
          <w:szCs w:val="24"/>
        </w:rPr>
        <w:t xml:space="preserve"> and the presenter simply says: “Thanks for your time, can I answer any questions?” That is ineffective—rather, provide a conclusion that states clearly what you want the audience to do and outline how, exactly, they can do it. In ERM, keeping things simple is critical – don’t over</w:t>
      </w:r>
      <w:r w:rsidRPr="00427E1B">
        <w:rPr>
          <w:b w:val="0"/>
          <w:sz w:val="24"/>
          <w:szCs w:val="24"/>
        </w:rPr>
        <w:softHyphen/>
        <w:t xml:space="preserve">complicate the process when something </w:t>
      </w:r>
      <w:proofErr w:type="gramStart"/>
      <w:r w:rsidRPr="00427E1B">
        <w:rPr>
          <w:b w:val="0"/>
          <w:sz w:val="24"/>
          <w:szCs w:val="24"/>
        </w:rPr>
        <w:t>simple</w:t>
      </w:r>
      <w:proofErr w:type="gramEnd"/>
      <w:r w:rsidRPr="00427E1B">
        <w:rPr>
          <w:b w:val="0"/>
          <w:sz w:val="24"/>
          <w:szCs w:val="24"/>
        </w:rPr>
        <w:t xml:space="preserve"> gets us to the same spot. </w:t>
      </w:r>
    </w:p>
    <w:p w14:paraId="1D96DD16" w14:textId="77777777" w:rsidR="00427E1B" w:rsidRPr="00427E1B" w:rsidRDefault="00427E1B" w:rsidP="00427E1B">
      <w:pPr>
        <w:pStyle w:val="Heading1"/>
        <w:rPr>
          <w:b w:val="0"/>
        </w:rPr>
      </w:pPr>
      <w:r w:rsidRPr="00427E1B">
        <w:t xml:space="preserve">The Special Sauce </w:t>
      </w:r>
    </w:p>
    <w:p w14:paraId="4199FACA" w14:textId="3FAC45B2" w:rsidR="00D769B3" w:rsidRPr="00427E1B" w:rsidRDefault="00427E1B" w:rsidP="00427E1B">
      <w:pPr>
        <w:rPr>
          <w:b w:val="0"/>
          <w:sz w:val="24"/>
          <w:szCs w:val="24"/>
        </w:rPr>
      </w:pPr>
      <w:r w:rsidRPr="00427E1B">
        <w:rPr>
          <w:b w:val="0"/>
          <w:sz w:val="24"/>
          <w:szCs w:val="24"/>
        </w:rPr>
        <w:t>Following the persuasive steps of Monroe’s Motivated Se</w:t>
      </w:r>
      <w:r w:rsidRPr="00427E1B">
        <w:rPr>
          <w:b w:val="0"/>
          <w:sz w:val="24"/>
          <w:szCs w:val="24"/>
        </w:rPr>
        <w:softHyphen/>
        <w:t>quence is often necessary for effective persuasion—but it is not wholly sufficient. Solid empirical data suggest that two additional elements can assist the audience in seeing the world the way you do: (1) preparedness and (2) passion. To the degree that the audience sees you as prepared (e.g., cit</w:t>
      </w:r>
      <w:r w:rsidRPr="00427E1B">
        <w:rPr>
          <w:b w:val="0"/>
          <w:sz w:val="24"/>
          <w:szCs w:val="24"/>
        </w:rPr>
        <w:softHyphen/>
        <w:t xml:space="preserve">ing facts and data, demonstrating your credentials), as well as passionate (e.g., you care deeply about the opportunity), it is more likely that they will provide </w:t>
      </w:r>
      <w:proofErr w:type="gramStart"/>
      <w:r w:rsidRPr="00427E1B">
        <w:rPr>
          <w:b w:val="0"/>
          <w:sz w:val="24"/>
          <w:szCs w:val="24"/>
        </w:rPr>
        <w:t>you</w:t>
      </w:r>
      <w:proofErr w:type="gramEnd"/>
      <w:r w:rsidRPr="00427E1B">
        <w:rPr>
          <w:b w:val="0"/>
          <w:sz w:val="24"/>
          <w:szCs w:val="24"/>
        </w:rPr>
        <w:t xml:space="preserve"> the support desired. Overall, although the persuasive process can be daunting, following the steps of Monroe’s Motivated Sequence </w:t>
      </w:r>
      <w:proofErr w:type="gramStart"/>
      <w:r w:rsidRPr="00427E1B">
        <w:rPr>
          <w:b w:val="0"/>
          <w:sz w:val="24"/>
          <w:szCs w:val="24"/>
        </w:rPr>
        <w:t>can de</w:t>
      </w:r>
      <w:r w:rsidRPr="00427E1B">
        <w:rPr>
          <w:b w:val="0"/>
          <w:sz w:val="24"/>
          <w:szCs w:val="24"/>
        </w:rPr>
        <w:softHyphen/>
        <w:t>crease</w:t>
      </w:r>
      <w:proofErr w:type="gramEnd"/>
      <w:r w:rsidRPr="00427E1B">
        <w:rPr>
          <w:b w:val="0"/>
          <w:sz w:val="24"/>
          <w:szCs w:val="24"/>
        </w:rPr>
        <w:t xml:space="preserve"> some of the risk that the audience will not listen to you or see what you present as valuable.</w:t>
      </w:r>
    </w:p>
    <w:p w14:paraId="3741A0A5" w14:textId="77777777" w:rsidR="00427E1B" w:rsidRPr="00427E1B" w:rsidRDefault="00427E1B" w:rsidP="00427E1B">
      <w:pPr>
        <w:pStyle w:val="Heading1"/>
        <w:rPr>
          <w:b w:val="0"/>
        </w:rPr>
      </w:pPr>
      <w:r w:rsidRPr="00427E1B">
        <w:t xml:space="preserve">Recommended Viewing </w:t>
      </w:r>
    </w:p>
    <w:p w14:paraId="6BBCB0B5" w14:textId="77777777" w:rsidR="00427E1B" w:rsidRPr="00427E1B" w:rsidRDefault="00427E1B" w:rsidP="00427E1B">
      <w:pPr>
        <w:rPr>
          <w:b w:val="0"/>
          <w:sz w:val="24"/>
          <w:szCs w:val="24"/>
        </w:rPr>
      </w:pPr>
      <w:r w:rsidRPr="00427E1B">
        <w:rPr>
          <w:b w:val="0"/>
          <w:sz w:val="24"/>
          <w:szCs w:val="24"/>
        </w:rPr>
        <w:t xml:space="preserve">Simon Sinek TED Talk- </w:t>
      </w:r>
      <w:r w:rsidRPr="00427E1B">
        <w:rPr>
          <w:b w:val="0"/>
          <w:sz w:val="24"/>
          <w:szCs w:val="24"/>
          <w:u w:val="single"/>
        </w:rPr>
        <w:t xml:space="preserve">How great leaders inspire action. </w:t>
      </w:r>
    </w:p>
    <w:p w14:paraId="40D3F6A1" w14:textId="77777777" w:rsidR="00427E1B" w:rsidRPr="00427E1B" w:rsidRDefault="00427E1B" w:rsidP="00427E1B">
      <w:pPr>
        <w:pStyle w:val="Heading1"/>
        <w:rPr>
          <w:b w:val="0"/>
        </w:rPr>
      </w:pPr>
      <w:r w:rsidRPr="00427E1B">
        <w:t xml:space="preserve">Recommend Reading </w:t>
      </w:r>
    </w:p>
    <w:p w14:paraId="63F30610" w14:textId="4A0263F0" w:rsidR="00427E1B" w:rsidRPr="00427E1B" w:rsidRDefault="00427E1B" w:rsidP="00427E1B">
      <w:pPr>
        <w:rPr>
          <w:b w:val="0"/>
          <w:sz w:val="24"/>
          <w:szCs w:val="24"/>
        </w:rPr>
      </w:pPr>
      <w:r w:rsidRPr="00427E1B">
        <w:rPr>
          <w:b w:val="0"/>
          <w:sz w:val="24"/>
          <w:szCs w:val="24"/>
        </w:rPr>
        <w:t xml:space="preserve">Lewis, M. (2016). </w:t>
      </w:r>
      <w:r w:rsidRPr="00427E1B">
        <w:rPr>
          <w:b w:val="0"/>
          <w:i/>
          <w:iCs/>
          <w:sz w:val="24"/>
          <w:szCs w:val="24"/>
        </w:rPr>
        <w:t>The undoing project: A friendship that changed the world</w:t>
      </w:r>
      <w:r w:rsidRPr="00427E1B">
        <w:rPr>
          <w:b w:val="0"/>
          <w:sz w:val="24"/>
          <w:szCs w:val="24"/>
        </w:rPr>
        <w:t xml:space="preserve">. London: Penguin. </w:t>
      </w:r>
    </w:p>
    <w:p w14:paraId="7D3C78BD" w14:textId="77777777" w:rsidR="00427E1B" w:rsidRPr="00427E1B" w:rsidRDefault="00427E1B" w:rsidP="00427E1B">
      <w:pPr>
        <w:rPr>
          <w:b w:val="0"/>
          <w:sz w:val="24"/>
          <w:szCs w:val="24"/>
        </w:rPr>
      </w:pPr>
      <w:r w:rsidRPr="00427E1B">
        <w:rPr>
          <w:b w:val="0"/>
          <w:sz w:val="24"/>
          <w:szCs w:val="24"/>
        </w:rPr>
        <w:t xml:space="preserve">Micciche, T., Pryor, B., &amp; Butler, J. (2000). </w:t>
      </w:r>
      <w:r w:rsidRPr="00427E1B">
        <w:rPr>
          <w:b w:val="0"/>
          <w:sz w:val="24"/>
          <w:szCs w:val="24"/>
          <w:u w:val="single"/>
        </w:rPr>
        <w:t xml:space="preserve">A test of Monroe’s Motivated Sequence for its effects on ratings of </w:t>
      </w:r>
      <w:proofErr w:type="gramStart"/>
      <w:r w:rsidRPr="00427E1B">
        <w:rPr>
          <w:b w:val="0"/>
          <w:sz w:val="24"/>
          <w:szCs w:val="24"/>
          <w:u w:val="single"/>
        </w:rPr>
        <w:t>message or</w:t>
      </w:r>
      <w:r w:rsidRPr="00427E1B">
        <w:rPr>
          <w:b w:val="0"/>
          <w:sz w:val="24"/>
          <w:szCs w:val="24"/>
          <w:u w:val="single"/>
        </w:rPr>
        <w:softHyphen/>
        <w:t>ganization</w:t>
      </w:r>
      <w:proofErr w:type="gramEnd"/>
      <w:r w:rsidRPr="00427E1B">
        <w:rPr>
          <w:b w:val="0"/>
          <w:sz w:val="24"/>
          <w:szCs w:val="24"/>
          <w:u w:val="single"/>
        </w:rPr>
        <w:t xml:space="preserve"> and attitude change</w:t>
      </w:r>
      <w:r w:rsidRPr="00427E1B">
        <w:rPr>
          <w:b w:val="0"/>
          <w:sz w:val="24"/>
          <w:szCs w:val="24"/>
        </w:rPr>
        <w:t xml:space="preserve">. </w:t>
      </w:r>
      <w:r w:rsidRPr="00427E1B">
        <w:rPr>
          <w:b w:val="0"/>
          <w:i/>
          <w:iCs/>
          <w:sz w:val="24"/>
          <w:szCs w:val="24"/>
        </w:rPr>
        <w:t>Psychological Reports</w:t>
      </w:r>
      <w:r w:rsidRPr="00427E1B">
        <w:rPr>
          <w:b w:val="0"/>
          <w:sz w:val="24"/>
          <w:szCs w:val="24"/>
        </w:rPr>
        <w:t xml:space="preserve">, 86, 1135-1138. </w:t>
      </w:r>
    </w:p>
    <w:p w14:paraId="13F0DE34" w14:textId="77777777" w:rsidR="00427E1B" w:rsidRPr="00427E1B" w:rsidRDefault="00427E1B" w:rsidP="00427E1B">
      <w:pPr>
        <w:rPr>
          <w:b w:val="0"/>
          <w:sz w:val="24"/>
          <w:szCs w:val="24"/>
        </w:rPr>
      </w:pPr>
      <w:r w:rsidRPr="00427E1B">
        <w:rPr>
          <w:b w:val="0"/>
          <w:sz w:val="24"/>
          <w:szCs w:val="24"/>
        </w:rPr>
        <w:lastRenderedPageBreak/>
        <w:t xml:space="preserve">Nagy, B. N., Pollack, J. M., Rutherford, M. W., &amp; Lohrke, F. (2012). </w:t>
      </w:r>
      <w:r w:rsidRPr="00427E1B">
        <w:rPr>
          <w:b w:val="0"/>
          <w:sz w:val="24"/>
          <w:szCs w:val="24"/>
          <w:u w:val="single"/>
        </w:rPr>
        <w:t>The influence of entrepreneurs’ credentials and impression management behaviors on perceptions of new venture legitimacy</w:t>
      </w:r>
      <w:r w:rsidRPr="00427E1B">
        <w:rPr>
          <w:b w:val="0"/>
          <w:sz w:val="24"/>
          <w:szCs w:val="24"/>
        </w:rPr>
        <w:t xml:space="preserve">. </w:t>
      </w:r>
      <w:r w:rsidRPr="00427E1B">
        <w:rPr>
          <w:b w:val="0"/>
          <w:i/>
          <w:iCs/>
          <w:sz w:val="24"/>
          <w:szCs w:val="24"/>
        </w:rPr>
        <w:t>Entrepreneurship Theory and Practice</w:t>
      </w:r>
      <w:r w:rsidRPr="00427E1B">
        <w:rPr>
          <w:b w:val="0"/>
          <w:sz w:val="24"/>
          <w:szCs w:val="24"/>
        </w:rPr>
        <w:t xml:space="preserve">, 36, 941-965. </w:t>
      </w:r>
    </w:p>
    <w:p w14:paraId="72260969" w14:textId="1A8927F7" w:rsidR="00427E1B" w:rsidRDefault="00427E1B" w:rsidP="00427E1B">
      <w:pPr>
        <w:rPr>
          <w:b w:val="0"/>
          <w:sz w:val="24"/>
          <w:szCs w:val="24"/>
        </w:rPr>
      </w:pPr>
      <w:r w:rsidRPr="00427E1B">
        <w:rPr>
          <w:b w:val="0"/>
          <w:sz w:val="24"/>
          <w:szCs w:val="24"/>
        </w:rPr>
        <w:t xml:space="preserve">Pollack, J. M., Rutherford, M. W., &amp; Nagy, B. (2012). </w:t>
      </w:r>
      <w:r w:rsidRPr="00427E1B">
        <w:rPr>
          <w:b w:val="0"/>
          <w:sz w:val="24"/>
          <w:szCs w:val="24"/>
          <w:u w:val="single"/>
        </w:rPr>
        <w:t>Pre</w:t>
      </w:r>
      <w:r w:rsidRPr="00427E1B">
        <w:rPr>
          <w:b w:val="0"/>
          <w:sz w:val="24"/>
          <w:szCs w:val="24"/>
          <w:u w:val="single"/>
        </w:rPr>
        <w:softHyphen/>
        <w:t>paredness and cognitive legitimacy as antecedents to new venture funding in televised business pitches</w:t>
      </w:r>
      <w:r w:rsidRPr="00427E1B">
        <w:rPr>
          <w:b w:val="0"/>
          <w:sz w:val="24"/>
          <w:szCs w:val="24"/>
        </w:rPr>
        <w:t xml:space="preserve">. </w:t>
      </w:r>
      <w:r w:rsidRPr="00427E1B">
        <w:rPr>
          <w:b w:val="0"/>
          <w:i/>
          <w:iCs/>
          <w:sz w:val="24"/>
          <w:szCs w:val="24"/>
        </w:rPr>
        <w:t>Entrepreneur</w:t>
      </w:r>
      <w:r w:rsidRPr="00427E1B">
        <w:rPr>
          <w:b w:val="0"/>
          <w:i/>
          <w:iCs/>
          <w:sz w:val="24"/>
          <w:szCs w:val="24"/>
        </w:rPr>
        <w:softHyphen/>
        <w:t>ship Theory and Practice</w:t>
      </w:r>
      <w:r w:rsidRPr="00427E1B">
        <w:rPr>
          <w:b w:val="0"/>
          <w:sz w:val="24"/>
          <w:szCs w:val="24"/>
        </w:rPr>
        <w:t>, 36, 915-939.</w:t>
      </w:r>
    </w:p>
    <w:p w14:paraId="50EC69F9" w14:textId="25805037" w:rsidR="00427E1B" w:rsidRPr="00427E1B" w:rsidRDefault="00427E1B" w:rsidP="00427E1B">
      <w:pPr>
        <w:pStyle w:val="Heading1"/>
      </w:pPr>
      <w:r w:rsidRPr="00427E1B">
        <w:t>Footnotes</w:t>
      </w:r>
    </w:p>
    <w:p w14:paraId="5B9504F0" w14:textId="77777777" w:rsidR="00427E1B" w:rsidRPr="00427E1B" w:rsidRDefault="00427E1B" w:rsidP="00427E1B">
      <w:pPr>
        <w:rPr>
          <w:b w:val="0"/>
          <w:bCs/>
          <w:sz w:val="24"/>
          <w:szCs w:val="24"/>
        </w:rPr>
      </w:pPr>
      <w:r w:rsidRPr="00427E1B">
        <w:rPr>
          <w:b w:val="0"/>
          <w:bCs/>
          <w:sz w:val="24"/>
          <w:szCs w:val="24"/>
          <w:vertAlign w:val="superscript"/>
        </w:rPr>
        <w:t xml:space="preserve">1 </w:t>
      </w:r>
      <w:r w:rsidRPr="00427E1B">
        <w:rPr>
          <w:b w:val="0"/>
          <w:bCs/>
          <w:sz w:val="24"/>
          <w:szCs w:val="24"/>
        </w:rPr>
        <w:t xml:space="preserve">For more information about passion and preparedness, as well as the data and context of this premise, see the following two articles. </w:t>
      </w:r>
    </w:p>
    <w:p w14:paraId="7EEB4579" w14:textId="77777777" w:rsidR="00427E1B" w:rsidRPr="00427E1B" w:rsidRDefault="00427E1B" w:rsidP="00427E1B">
      <w:pPr>
        <w:rPr>
          <w:b w:val="0"/>
          <w:bCs/>
          <w:sz w:val="24"/>
          <w:szCs w:val="24"/>
        </w:rPr>
      </w:pPr>
      <w:r w:rsidRPr="00427E1B">
        <w:rPr>
          <w:b w:val="0"/>
          <w:bCs/>
          <w:sz w:val="24"/>
          <w:szCs w:val="24"/>
        </w:rPr>
        <w:t>Nagy, B. N., Pollack, J. M., Rutherford, M. W., &amp; Lohrke, F. (2012). T</w:t>
      </w:r>
      <w:r w:rsidRPr="00427E1B">
        <w:rPr>
          <w:b w:val="0"/>
          <w:bCs/>
          <w:sz w:val="24"/>
          <w:szCs w:val="24"/>
          <w:u w:val="single"/>
        </w:rPr>
        <w:t>he influence of entrepreneurs’ credentials and impression management behaviors on perceptions of new venture legitimacy</w:t>
      </w:r>
      <w:r w:rsidRPr="00427E1B">
        <w:rPr>
          <w:b w:val="0"/>
          <w:bCs/>
          <w:sz w:val="24"/>
          <w:szCs w:val="24"/>
        </w:rPr>
        <w:t xml:space="preserve">. </w:t>
      </w:r>
      <w:r w:rsidRPr="00427E1B">
        <w:rPr>
          <w:b w:val="0"/>
          <w:bCs/>
          <w:i/>
          <w:iCs/>
          <w:sz w:val="24"/>
          <w:szCs w:val="24"/>
        </w:rPr>
        <w:t>Entrepreneurship Theory and Practice</w:t>
      </w:r>
      <w:r w:rsidRPr="00427E1B">
        <w:rPr>
          <w:b w:val="0"/>
          <w:bCs/>
          <w:sz w:val="24"/>
          <w:szCs w:val="24"/>
        </w:rPr>
        <w:t xml:space="preserve">, 36, 941-965. </w:t>
      </w:r>
    </w:p>
    <w:p w14:paraId="6F36DEA8" w14:textId="22D52E71" w:rsidR="00427E1B" w:rsidRPr="00427E1B" w:rsidRDefault="00427E1B" w:rsidP="00427E1B">
      <w:pPr>
        <w:rPr>
          <w:b w:val="0"/>
          <w:bCs/>
          <w:sz w:val="24"/>
          <w:szCs w:val="24"/>
        </w:rPr>
      </w:pPr>
      <w:r w:rsidRPr="00427E1B">
        <w:rPr>
          <w:b w:val="0"/>
          <w:bCs/>
          <w:sz w:val="24"/>
          <w:szCs w:val="24"/>
        </w:rPr>
        <w:t xml:space="preserve">Pollack, J. M., Rutherford, M. W., &amp; Nagy, B. (2012). </w:t>
      </w:r>
      <w:r w:rsidRPr="00427E1B">
        <w:rPr>
          <w:b w:val="0"/>
          <w:bCs/>
          <w:sz w:val="24"/>
          <w:szCs w:val="24"/>
          <w:u w:val="single"/>
        </w:rPr>
        <w:t>Preparedness and cognitive legitimacy as antecedents to new venture funding in televised business pitches</w:t>
      </w:r>
      <w:r w:rsidRPr="00427E1B">
        <w:rPr>
          <w:b w:val="0"/>
          <w:bCs/>
          <w:sz w:val="24"/>
          <w:szCs w:val="24"/>
        </w:rPr>
        <w:t xml:space="preserve">. </w:t>
      </w:r>
      <w:r w:rsidRPr="00427E1B">
        <w:rPr>
          <w:b w:val="0"/>
          <w:bCs/>
          <w:i/>
          <w:iCs/>
          <w:sz w:val="24"/>
          <w:szCs w:val="24"/>
        </w:rPr>
        <w:t>Entrepreneurship Theory and Practice</w:t>
      </w:r>
      <w:r w:rsidRPr="00427E1B">
        <w:rPr>
          <w:b w:val="0"/>
          <w:bCs/>
          <w:sz w:val="24"/>
          <w:szCs w:val="24"/>
        </w:rPr>
        <w:t>, 36, 915-939.</w:t>
      </w:r>
    </w:p>
    <w:p w14:paraId="0A789A90" w14:textId="66B613E4" w:rsidR="00E40E15" w:rsidRPr="00427E1B" w:rsidRDefault="00E40E15" w:rsidP="00427E1B">
      <w:pPr>
        <w:pStyle w:val="Heading1"/>
      </w:pPr>
      <w:r w:rsidRPr="00427E1B">
        <w:t>About the Author</w:t>
      </w:r>
    </w:p>
    <w:p w14:paraId="5E35F938" w14:textId="77777777" w:rsidR="00427E1B" w:rsidRPr="00D769B3" w:rsidRDefault="00427E1B" w:rsidP="00427E1B">
      <w:pPr>
        <w:spacing w:after="0"/>
        <w:rPr>
          <w:bCs/>
          <w:sz w:val="24"/>
          <w:szCs w:val="24"/>
        </w:rPr>
      </w:pPr>
      <w:r w:rsidRPr="00D769B3">
        <w:rPr>
          <w:bCs/>
          <w:sz w:val="24"/>
          <w:szCs w:val="24"/>
        </w:rPr>
        <w:t>Jeffrey M. Pollack</w:t>
      </w:r>
      <w:r w:rsidRPr="00427E1B">
        <w:rPr>
          <w:bCs/>
          <w:sz w:val="24"/>
          <w:szCs w:val="24"/>
        </w:rPr>
        <w:t xml:space="preserve">, </w:t>
      </w:r>
      <w:r w:rsidRPr="00D769B3">
        <w:rPr>
          <w:bCs/>
          <w:sz w:val="24"/>
          <w:szCs w:val="24"/>
        </w:rPr>
        <w:t>Associate Professor in Entrepreneurship</w:t>
      </w:r>
    </w:p>
    <w:p w14:paraId="57A6BCEC" w14:textId="77777777" w:rsidR="00427E1B" w:rsidRPr="00427E1B" w:rsidRDefault="00427E1B" w:rsidP="00427E1B">
      <w:pPr>
        <w:spacing w:after="0"/>
        <w:rPr>
          <w:bCs/>
          <w:sz w:val="24"/>
          <w:szCs w:val="24"/>
        </w:rPr>
      </w:pPr>
      <w:r w:rsidRPr="00427E1B">
        <w:rPr>
          <w:bCs/>
          <w:sz w:val="24"/>
          <w:szCs w:val="24"/>
        </w:rPr>
        <w:t>NC State University Poole College of Management</w:t>
      </w:r>
    </w:p>
    <w:p w14:paraId="171432A9" w14:textId="77777777" w:rsidR="00427E1B" w:rsidRPr="00427E1B" w:rsidRDefault="00427E1B" w:rsidP="00427E1B">
      <w:pPr>
        <w:spacing w:after="0"/>
        <w:rPr>
          <w:bCs/>
          <w:sz w:val="24"/>
          <w:szCs w:val="24"/>
        </w:rPr>
      </w:pPr>
    </w:p>
    <w:p w14:paraId="3A6EA1C7" w14:textId="45D442E8" w:rsidR="000662EE" w:rsidRPr="00427E1B" w:rsidRDefault="00427E1B" w:rsidP="00427E1B">
      <w:pPr>
        <w:spacing w:after="0"/>
        <w:rPr>
          <w:b w:val="0"/>
          <w:sz w:val="24"/>
          <w:szCs w:val="24"/>
        </w:rPr>
      </w:pPr>
      <w:r w:rsidRPr="00427E1B">
        <w:rPr>
          <w:b w:val="0"/>
          <w:sz w:val="24"/>
          <w:szCs w:val="24"/>
        </w:rPr>
        <w:t xml:space="preserve">Professor in the Poole College of Management at North Carolina State University who teaches and conducts research focused on entrepreneurship. Over the past 15 years, he has accumulated a variety of entrepreneurial experiences from working in small </w:t>
      </w:r>
      <w:proofErr w:type="gramStart"/>
      <w:r w:rsidRPr="00427E1B">
        <w:rPr>
          <w:b w:val="0"/>
          <w:sz w:val="24"/>
          <w:szCs w:val="24"/>
        </w:rPr>
        <w:t>family owned</w:t>
      </w:r>
      <w:proofErr w:type="gramEnd"/>
      <w:r w:rsidRPr="00427E1B">
        <w:rPr>
          <w:b w:val="0"/>
          <w:sz w:val="24"/>
          <w:szCs w:val="24"/>
        </w:rPr>
        <w:t xml:space="preserve"> firms, to buying and selling businesses, to investing in businesses. These experiences shape his perspective on research which examines 1) the underlying psycho</w:t>
      </w:r>
      <w:r w:rsidRPr="00427E1B">
        <w:rPr>
          <w:b w:val="0"/>
          <w:sz w:val="24"/>
          <w:szCs w:val="24"/>
        </w:rPr>
        <w:softHyphen/>
        <w:t>logical predictors of new venture creation, and 2) the determinants of performance both at the firm and individual levels. Contact Jeff at jmpolla3@ncsu.edu.</w:t>
      </w:r>
    </w:p>
    <w:sectPr w:rsidR="000662EE" w:rsidRPr="00427E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382A0" w14:textId="77777777" w:rsidR="00292D77" w:rsidRDefault="00292D77" w:rsidP="00E92FE9">
      <w:pPr>
        <w:spacing w:after="0" w:line="240" w:lineRule="auto"/>
      </w:pPr>
      <w:r>
        <w:separator/>
      </w:r>
    </w:p>
  </w:endnote>
  <w:endnote w:type="continuationSeparator" w:id="0">
    <w:p w14:paraId="5C2D2082" w14:textId="77777777" w:rsidR="00292D77" w:rsidRDefault="00292D77" w:rsidP="00E92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Body">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43657" w14:textId="77777777" w:rsidR="00292D77" w:rsidRDefault="00292D77" w:rsidP="00E92FE9">
      <w:pPr>
        <w:spacing w:after="0" w:line="240" w:lineRule="auto"/>
      </w:pPr>
      <w:r>
        <w:separator/>
      </w:r>
    </w:p>
  </w:footnote>
  <w:footnote w:type="continuationSeparator" w:id="0">
    <w:p w14:paraId="12D0E438" w14:textId="77777777" w:rsidR="00292D77" w:rsidRDefault="00292D77" w:rsidP="00E92F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F56"/>
    <w:multiLevelType w:val="hybridMultilevel"/>
    <w:tmpl w:val="C0AE8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D7F9B"/>
    <w:multiLevelType w:val="hybridMultilevel"/>
    <w:tmpl w:val="53460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F60960"/>
    <w:multiLevelType w:val="hybridMultilevel"/>
    <w:tmpl w:val="8D349BF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825423"/>
    <w:multiLevelType w:val="hybridMultilevel"/>
    <w:tmpl w:val="C0AE82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D961E7"/>
    <w:multiLevelType w:val="hybridMultilevel"/>
    <w:tmpl w:val="2F26100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E73DA2"/>
    <w:multiLevelType w:val="hybridMultilevel"/>
    <w:tmpl w:val="725E1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2782902">
    <w:abstractNumId w:val="5"/>
  </w:num>
  <w:num w:numId="2" w16cid:durableId="1986473759">
    <w:abstractNumId w:val="0"/>
  </w:num>
  <w:num w:numId="3" w16cid:durableId="37441985">
    <w:abstractNumId w:val="3"/>
  </w:num>
  <w:num w:numId="4" w16cid:durableId="1537885465">
    <w:abstractNumId w:val="2"/>
  </w:num>
  <w:num w:numId="5" w16cid:durableId="1863127808">
    <w:abstractNumId w:val="4"/>
  </w:num>
  <w:num w:numId="6" w16cid:durableId="2123836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E15"/>
    <w:rsid w:val="000242EF"/>
    <w:rsid w:val="000662EE"/>
    <w:rsid w:val="00140D3F"/>
    <w:rsid w:val="00160606"/>
    <w:rsid w:val="00183643"/>
    <w:rsid w:val="00194959"/>
    <w:rsid w:val="001A021D"/>
    <w:rsid w:val="00292D77"/>
    <w:rsid w:val="00427E1B"/>
    <w:rsid w:val="00452992"/>
    <w:rsid w:val="00464ADE"/>
    <w:rsid w:val="004B0C29"/>
    <w:rsid w:val="004B5A0D"/>
    <w:rsid w:val="00521030"/>
    <w:rsid w:val="00521A14"/>
    <w:rsid w:val="005C4268"/>
    <w:rsid w:val="00755D04"/>
    <w:rsid w:val="00804914"/>
    <w:rsid w:val="008105F9"/>
    <w:rsid w:val="00837DD0"/>
    <w:rsid w:val="00922B00"/>
    <w:rsid w:val="00982959"/>
    <w:rsid w:val="00BB40B9"/>
    <w:rsid w:val="00C0196D"/>
    <w:rsid w:val="00C86327"/>
    <w:rsid w:val="00D0327C"/>
    <w:rsid w:val="00D543FC"/>
    <w:rsid w:val="00D769B3"/>
    <w:rsid w:val="00D8285B"/>
    <w:rsid w:val="00DE14FA"/>
    <w:rsid w:val="00E40E15"/>
    <w:rsid w:val="00E7201A"/>
    <w:rsid w:val="00E92FE9"/>
    <w:rsid w:val="00EB3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4D2B5"/>
  <w15:chartTrackingRefBased/>
  <w15:docId w15:val="{65274A4F-6BEB-4D31-AB3D-41A9AC37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b/>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4FA"/>
  </w:style>
  <w:style w:type="paragraph" w:styleId="Heading1">
    <w:name w:val="heading 1"/>
    <w:basedOn w:val="Normal"/>
    <w:next w:val="Normal"/>
    <w:link w:val="Heading1Char"/>
    <w:autoRedefine/>
    <w:uiPriority w:val="9"/>
    <w:qFormat/>
    <w:rsid w:val="00427E1B"/>
    <w:pPr>
      <w:keepNext/>
      <w:keepLines/>
      <w:spacing w:before="240" w:after="0"/>
      <w:outlineLvl w:val="0"/>
    </w:pPr>
    <w:rPr>
      <w:rFonts w:asciiTheme="majorHAnsi" w:eastAsiaTheme="majorEastAsia" w:hAnsiTheme="majorHAnsi" w:cstheme="majorBidi"/>
      <w:bCs/>
      <w:color w:val="C00000"/>
      <w:sz w:val="32"/>
      <w:szCs w:val="32"/>
    </w:rPr>
  </w:style>
  <w:style w:type="paragraph" w:styleId="Heading2">
    <w:name w:val="heading 2"/>
    <w:basedOn w:val="Normal"/>
    <w:next w:val="Normal"/>
    <w:link w:val="Heading2Char"/>
    <w:autoRedefine/>
    <w:uiPriority w:val="9"/>
    <w:unhideWhenUsed/>
    <w:qFormat/>
    <w:rsid w:val="00427E1B"/>
    <w:pPr>
      <w:keepNext/>
      <w:keepLines/>
      <w:spacing w:after="0"/>
      <w:outlineLvl w:val="1"/>
    </w:pPr>
    <w:rPr>
      <w:b w:val="0"/>
      <w:color w:val="EE0000"/>
      <w:sz w:val="32"/>
      <w:szCs w:val="32"/>
    </w:rPr>
  </w:style>
  <w:style w:type="paragraph" w:styleId="Heading3">
    <w:name w:val="heading 3"/>
    <w:basedOn w:val="Normal"/>
    <w:next w:val="Normal"/>
    <w:link w:val="Heading3Char"/>
    <w:uiPriority w:val="9"/>
    <w:unhideWhenUsed/>
    <w:qFormat/>
    <w:rsid w:val="00E40E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0E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0E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0E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E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E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E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7E1B"/>
    <w:rPr>
      <w:b w:val="0"/>
      <w:color w:val="EE0000"/>
      <w:sz w:val="32"/>
      <w:szCs w:val="32"/>
    </w:rPr>
  </w:style>
  <w:style w:type="character" w:customStyle="1" w:styleId="Heading1Char">
    <w:name w:val="Heading 1 Char"/>
    <w:basedOn w:val="DefaultParagraphFont"/>
    <w:link w:val="Heading1"/>
    <w:uiPriority w:val="9"/>
    <w:rsid w:val="00427E1B"/>
    <w:rPr>
      <w:rFonts w:asciiTheme="majorHAnsi" w:eastAsiaTheme="majorEastAsia" w:hAnsiTheme="majorHAnsi" w:cstheme="majorBidi"/>
      <w:bCs/>
      <w:color w:val="C00000"/>
      <w:sz w:val="32"/>
      <w:szCs w:val="32"/>
    </w:rPr>
  </w:style>
  <w:style w:type="character" w:customStyle="1" w:styleId="Heading3Char">
    <w:name w:val="Heading 3 Char"/>
    <w:basedOn w:val="DefaultParagraphFont"/>
    <w:link w:val="Heading3"/>
    <w:uiPriority w:val="9"/>
    <w:rsid w:val="00E40E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0E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0E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0E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E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E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E15"/>
    <w:rPr>
      <w:rFonts w:eastAsiaTheme="majorEastAsia" w:cstheme="majorBidi"/>
      <w:color w:val="272727" w:themeColor="text1" w:themeTint="D8"/>
    </w:rPr>
  </w:style>
  <w:style w:type="paragraph" w:styleId="Title">
    <w:name w:val="Title"/>
    <w:basedOn w:val="Normal"/>
    <w:next w:val="Normal"/>
    <w:link w:val="TitleChar"/>
    <w:uiPriority w:val="10"/>
    <w:qFormat/>
    <w:rsid w:val="00E40E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E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E1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E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E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40E15"/>
    <w:rPr>
      <w:i/>
      <w:iCs/>
      <w:color w:val="404040" w:themeColor="text1" w:themeTint="BF"/>
    </w:rPr>
  </w:style>
  <w:style w:type="paragraph" w:styleId="ListParagraph">
    <w:name w:val="List Paragraph"/>
    <w:basedOn w:val="Normal"/>
    <w:uiPriority w:val="34"/>
    <w:qFormat/>
    <w:rsid w:val="00E40E15"/>
    <w:pPr>
      <w:ind w:left="720"/>
      <w:contextualSpacing/>
    </w:pPr>
  </w:style>
  <w:style w:type="character" w:styleId="IntenseEmphasis">
    <w:name w:val="Intense Emphasis"/>
    <w:basedOn w:val="DefaultParagraphFont"/>
    <w:uiPriority w:val="21"/>
    <w:qFormat/>
    <w:rsid w:val="00E40E15"/>
    <w:rPr>
      <w:i/>
      <w:iCs/>
      <w:color w:val="0F4761" w:themeColor="accent1" w:themeShade="BF"/>
    </w:rPr>
  </w:style>
  <w:style w:type="paragraph" w:styleId="IntenseQuote">
    <w:name w:val="Intense Quote"/>
    <w:basedOn w:val="Normal"/>
    <w:next w:val="Normal"/>
    <w:link w:val="IntenseQuoteChar"/>
    <w:uiPriority w:val="30"/>
    <w:qFormat/>
    <w:rsid w:val="00E40E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0E15"/>
    <w:rPr>
      <w:i/>
      <w:iCs/>
      <w:color w:val="0F4761" w:themeColor="accent1" w:themeShade="BF"/>
    </w:rPr>
  </w:style>
  <w:style w:type="character" w:styleId="IntenseReference">
    <w:name w:val="Intense Reference"/>
    <w:basedOn w:val="DefaultParagraphFont"/>
    <w:uiPriority w:val="32"/>
    <w:qFormat/>
    <w:rsid w:val="00E40E15"/>
    <w:rPr>
      <w:b w:val="0"/>
      <w:bCs/>
      <w:smallCaps/>
      <w:color w:val="0F4761" w:themeColor="accent1" w:themeShade="BF"/>
      <w:spacing w:val="5"/>
    </w:rPr>
  </w:style>
  <w:style w:type="character" w:styleId="Hyperlink">
    <w:name w:val="Hyperlink"/>
    <w:basedOn w:val="DefaultParagraphFont"/>
    <w:uiPriority w:val="99"/>
    <w:unhideWhenUsed/>
    <w:rsid w:val="00E40E15"/>
    <w:rPr>
      <w:color w:val="467886" w:themeColor="hyperlink"/>
      <w:u w:val="single"/>
    </w:rPr>
  </w:style>
  <w:style w:type="character" w:styleId="UnresolvedMention">
    <w:name w:val="Unresolved Mention"/>
    <w:basedOn w:val="DefaultParagraphFont"/>
    <w:uiPriority w:val="99"/>
    <w:semiHidden/>
    <w:unhideWhenUsed/>
    <w:rsid w:val="00E40E15"/>
    <w:rPr>
      <w:color w:val="605E5C"/>
      <w:shd w:val="clear" w:color="auto" w:fill="E1DFDD"/>
    </w:rPr>
  </w:style>
  <w:style w:type="paragraph" w:styleId="Header">
    <w:name w:val="header"/>
    <w:basedOn w:val="Normal"/>
    <w:link w:val="HeaderChar"/>
    <w:uiPriority w:val="99"/>
    <w:unhideWhenUsed/>
    <w:rsid w:val="00E92F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FE9"/>
  </w:style>
  <w:style w:type="paragraph" w:styleId="Footer">
    <w:name w:val="footer"/>
    <w:basedOn w:val="Normal"/>
    <w:link w:val="FooterChar"/>
    <w:uiPriority w:val="99"/>
    <w:unhideWhenUsed/>
    <w:rsid w:val="00E92F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1382</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North Carolina State University</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Nguyen</dc:creator>
  <cp:keywords/>
  <dc:description/>
  <cp:lastModifiedBy>Thuy Nguyen</cp:lastModifiedBy>
  <cp:revision>4</cp:revision>
  <dcterms:created xsi:type="dcterms:W3CDTF">2026-03-23T17:09:00Z</dcterms:created>
  <dcterms:modified xsi:type="dcterms:W3CDTF">2026-03-23T17:16:00Z</dcterms:modified>
</cp:coreProperties>
</file>