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7A6B" w14:textId="0114D172" w:rsidR="00E07A12" w:rsidRDefault="00E07A12" w:rsidP="00915310">
      <w:pPr>
        <w:pStyle w:val="Title"/>
      </w:pPr>
      <w:r w:rsidRPr="00FB675E">
        <w:t>Managing Physical &amp; Security Risks for Executives</w:t>
      </w:r>
    </w:p>
    <w:p w14:paraId="26E5FBF9" w14:textId="525165DC" w:rsidR="00042B92" w:rsidRPr="00915310" w:rsidRDefault="00042B92" w:rsidP="00E07A12">
      <w:pPr>
        <w:rPr>
          <w:rStyle w:val="SubtleReference"/>
        </w:rPr>
      </w:pPr>
      <w:r w:rsidRPr="00915310">
        <w:rPr>
          <w:rStyle w:val="SubtleReference"/>
        </w:rPr>
        <w:t>Bruce Branson, Professor and Associate Director, ERM Initiative</w:t>
      </w:r>
    </w:p>
    <w:p w14:paraId="6B65A231" w14:textId="24668518" w:rsidR="009E15F1" w:rsidRPr="009E15F1" w:rsidRDefault="009E15F1" w:rsidP="009E15F1">
      <w:r w:rsidRPr="009E15F1">
        <w:t xml:space="preserve">Senior executives are </w:t>
      </w:r>
      <w:r w:rsidR="00E7062F">
        <w:t>experiencing</w:t>
      </w:r>
      <w:r w:rsidR="00E7062F" w:rsidRPr="009E15F1">
        <w:t xml:space="preserve"> </w:t>
      </w:r>
      <w:r w:rsidRPr="009E15F1">
        <w:t>a markedly more dangerous physical threat environment than at any point in recent history. High</w:t>
      </w:r>
      <w:r w:rsidRPr="009E15F1">
        <w:noBreakHyphen/>
        <w:t xml:space="preserve">profile incidents—including the murder of a UnitedHealthcare </w:t>
      </w:r>
      <w:r w:rsidR="00E7062F">
        <w:t xml:space="preserve">Inc. senior </w:t>
      </w:r>
      <w:r w:rsidRPr="009E15F1">
        <w:t>executive in New York City, the firebombing of the OpenAI CEO’s residence, arson at a Kimberly</w:t>
      </w:r>
      <w:r w:rsidRPr="009E15F1">
        <w:noBreakHyphen/>
        <w:t xml:space="preserve">Clark facility, and hostile actions directed at Duke Energy personnel—underscore a troubling reality: corporate leadership </w:t>
      </w:r>
      <w:r w:rsidR="00E7062F">
        <w:t>and other employees have</w:t>
      </w:r>
      <w:r w:rsidRPr="009E15F1">
        <w:t xml:space="preserve"> become a focal point for targeted violence. These events are not random anomalies; they reflect a broader escalation in hostility toward organizations and the individuals who represent them publicly.</w:t>
      </w:r>
    </w:p>
    <w:p w14:paraId="350C12E9" w14:textId="042B3D71" w:rsidR="009E15F1" w:rsidRPr="009E15F1" w:rsidRDefault="009E15F1" w:rsidP="009E15F1">
      <w:r w:rsidRPr="009E15F1">
        <w:t xml:space="preserve">In response, organizations are elevating executive physical security from a peripheral concern to a core enterprise risk requiring deliberate governance and oversight. Based on </w:t>
      </w:r>
      <w:r>
        <w:t>our</w:t>
      </w:r>
      <w:r w:rsidRPr="009E15F1">
        <w:t xml:space="preserve"> engagement with ERM leaders across industries, we observe a clear shift toward more structured monitoring, intelligence gathering, and response frameworks. This includes formalizing executive protection expectations, clarifying fiduciary responsibilities, and developing actionable policies—such as an Executive Protection and Risk Mitigation framework</w:t>
      </w:r>
      <w:r>
        <w:t xml:space="preserve"> (see example provided later)</w:t>
      </w:r>
      <w:r w:rsidRPr="009E15F1">
        <w:t>—to help boards and executive teams proactively address a rapidly intensifying risk landscape.</w:t>
      </w:r>
    </w:p>
    <w:p w14:paraId="1D400230" w14:textId="412BDB0F" w:rsidR="00E07A12" w:rsidRPr="00FB675E" w:rsidRDefault="00FB675E" w:rsidP="00915310">
      <w:pPr>
        <w:pStyle w:val="Heading1"/>
      </w:pPr>
      <w:r w:rsidRPr="00FB675E">
        <w:t>T</w:t>
      </w:r>
      <w:r w:rsidR="00E07A12" w:rsidRPr="00FB675E">
        <w:t>he Current Threat Landscape</w:t>
      </w:r>
    </w:p>
    <w:p w14:paraId="1D7E775A" w14:textId="0C0CA477" w:rsidR="00E07A12" w:rsidRDefault="00E07A12" w:rsidP="00E07A12">
      <w:r>
        <w:t xml:space="preserve">Modern security risks for executives are no longer confined to the boardroom or the </w:t>
      </w:r>
      <w:r w:rsidR="000D3C07">
        <w:t xml:space="preserve">IT </w:t>
      </w:r>
      <w:r>
        <w:t xml:space="preserve">server room. A volatile cocktail of extreme polarization, conspiracy theories, and mental health crises has transformed public-facing leadership into high-risk roles. </w:t>
      </w:r>
      <w:r w:rsidR="000D3C07">
        <w:t>Furthermore, a</w:t>
      </w:r>
      <w:r>
        <w:t xml:space="preserve"> disturbing trend noted </w:t>
      </w:r>
      <w:r w:rsidR="000D3C07">
        <w:t>is</w:t>
      </w:r>
      <w:r>
        <w:t xml:space="preserve"> the "applause" from subsets of the public following violent acts, suggesting a breakdown in social norms and a</w:t>
      </w:r>
      <w:r w:rsidR="00E7062F">
        <w:t xml:space="preserve"> potential</w:t>
      </w:r>
      <w:r>
        <w:t xml:space="preserve"> increase in targeted hostility toward corporate leadership.</w:t>
      </w:r>
    </w:p>
    <w:p w14:paraId="085BF04D" w14:textId="485C51F0" w:rsidR="00E07A12" w:rsidRDefault="00E07A12" w:rsidP="00915310">
      <w:pPr>
        <w:pStyle w:val="Heading1"/>
      </w:pPr>
      <w:r w:rsidRPr="00FB675E">
        <w:t>Proactive Mitigation Strategies</w:t>
      </w:r>
    </w:p>
    <w:p w14:paraId="4A1E6EA6" w14:textId="5C0E2C4A" w:rsidR="00E07A12" w:rsidRDefault="00E07A12" w:rsidP="00E07A12">
      <w:r>
        <w:t xml:space="preserve">In response to these </w:t>
      </w:r>
      <w:r w:rsidR="005E75A4">
        <w:t xml:space="preserve">escalating </w:t>
      </w:r>
      <w:r w:rsidR="00FB675E">
        <w:t>episodes</w:t>
      </w:r>
      <w:r w:rsidR="005E75A4">
        <w:t xml:space="preserve"> of physical violence target</w:t>
      </w:r>
      <w:r w:rsidR="00E7062F">
        <w:t>ing</w:t>
      </w:r>
      <w:r w:rsidR="005E75A4">
        <w:t xml:space="preserve"> executive and mainstream employees</w:t>
      </w:r>
      <w:r w:rsidR="00FB675E">
        <w:t>,</w:t>
      </w:r>
      <w:r>
        <w:t xml:space="preserve"> organizations are adopting rigorous defensive postures:</w:t>
      </w:r>
    </w:p>
    <w:p w14:paraId="0C87A462" w14:textId="68113485" w:rsidR="00E07A12" w:rsidRDefault="00FB675E" w:rsidP="005E75A4">
      <w:pPr>
        <w:pStyle w:val="ListParagraph"/>
        <w:numPr>
          <w:ilvl w:val="0"/>
          <w:numId w:val="5"/>
        </w:numPr>
      </w:pPr>
      <w:r w:rsidRPr="00B3098B">
        <w:rPr>
          <w:b/>
          <w:bCs/>
        </w:rPr>
        <w:lastRenderedPageBreak/>
        <w:t>T</w:t>
      </w:r>
      <w:r w:rsidR="00E07A12" w:rsidRPr="00B3098B">
        <w:rPr>
          <w:b/>
          <w:bCs/>
        </w:rPr>
        <w:t>he Bow Tie Analysis:</w:t>
      </w:r>
      <w:r>
        <w:t xml:space="preserve"> </w:t>
      </w:r>
      <w:r w:rsidR="005E75A4">
        <w:t>This risk management tool that helps business leaders think about identifying both preventative responses to treat risk root causes and reactive responses to triage risk impacts should they occur can be helpful in visualizing</w:t>
      </w:r>
      <w:r w:rsidR="00E07A12">
        <w:t xml:space="preserve"> the relationship between potential causes (threats)</w:t>
      </w:r>
      <w:r w:rsidR="005E75A4">
        <w:t xml:space="preserve"> to employee safety</w:t>
      </w:r>
      <w:r w:rsidR="00E07A12">
        <w:t xml:space="preserve"> and consequences, allowing for "preventative" and "recovery" controls to be mapped simultaneously.</w:t>
      </w:r>
    </w:p>
    <w:p w14:paraId="14E56D3F" w14:textId="77777777" w:rsidR="00743CE0" w:rsidRDefault="00743CE0" w:rsidP="00B3098B">
      <w:pPr>
        <w:ind w:left="720"/>
      </w:pPr>
      <w:r>
        <w:t>In the past, security was often a linear checklist. The use of a Bow Tie Analysis in this context is sophisticated. It forces a company to look at the "Center Event" (e.g., a physical attack) and identify proactive barriers (to stop it from happening) and reactive barriers (to minimize damage if it does). This indicates that security is moving from a "guard at the door" model to a "data-driven risk" model.</w:t>
      </w:r>
    </w:p>
    <w:p w14:paraId="6ADF3D1B" w14:textId="5D540235" w:rsidR="009E15F1" w:rsidRDefault="00E07A12" w:rsidP="009E15F1">
      <w:pPr>
        <w:pStyle w:val="ListParagraph"/>
        <w:numPr>
          <w:ilvl w:val="0"/>
          <w:numId w:val="5"/>
        </w:numPr>
      </w:pPr>
      <w:r w:rsidRPr="00B3098B">
        <w:rPr>
          <w:b/>
          <w:bCs/>
        </w:rPr>
        <w:t>Harden</w:t>
      </w:r>
      <w:r w:rsidR="005E75A4">
        <w:rPr>
          <w:b/>
          <w:bCs/>
        </w:rPr>
        <w:t>ed</w:t>
      </w:r>
      <w:r w:rsidRPr="00B3098B">
        <w:rPr>
          <w:b/>
          <w:bCs/>
        </w:rPr>
        <w:t xml:space="preserve"> Infrastructure:</w:t>
      </w:r>
      <w:r>
        <w:t xml:space="preserve"> </w:t>
      </w:r>
      <w:r w:rsidR="009E15F1" w:rsidRPr="009E15F1">
        <w:t>Organizations are increasingly reassessing the physical design and access controls of their facilities through an executive</w:t>
      </w:r>
      <w:r w:rsidR="009E15F1" w:rsidRPr="009E15F1">
        <w:noBreakHyphen/>
        <w:t>risk lens. This includes implementing more restrictive access protocols for corporate campuses, segregating executive floors, and deploying layered security measures such as credentialed entry points, surveillance, and controlled visitor flows. In higher</w:t>
      </w:r>
      <w:r w:rsidR="009E15F1" w:rsidRPr="009E15F1">
        <w:noBreakHyphen/>
        <w:t>risk environments, these controls are supplemented with trained security personnel—sometimes armed—to provide visible deterrence and rapid intervention capability.</w:t>
      </w:r>
    </w:p>
    <w:p w14:paraId="11382940" w14:textId="37808C09" w:rsidR="009E15F1" w:rsidRPr="009E15F1" w:rsidRDefault="009E15F1" w:rsidP="00B3098B">
      <w:pPr>
        <w:ind w:left="720"/>
      </w:pPr>
      <w:r w:rsidRPr="009E15F1">
        <w:t>Importantly, leading organizations emphasize proportionality and discretion in these measures to avoid creating a fortress</w:t>
      </w:r>
      <w:r w:rsidRPr="009E15F1">
        <w:noBreakHyphen/>
        <w:t>like atmosphere that undermines culture or operational effectiveness. Hardened infrastructure is most effective when integrated into broader risk assessments that consider location</w:t>
      </w:r>
      <w:r w:rsidRPr="009E15F1">
        <w:noBreakHyphen/>
        <w:t>specific threats, executive visibility, and business continuity implications rather than applied uniformly.</w:t>
      </w:r>
    </w:p>
    <w:p w14:paraId="65403A9F" w14:textId="5681F951" w:rsidR="009E15F1" w:rsidRPr="00915310" w:rsidRDefault="00E07A12" w:rsidP="009C4CAD">
      <w:pPr>
        <w:pStyle w:val="ListParagraph"/>
        <w:numPr>
          <w:ilvl w:val="0"/>
          <w:numId w:val="5"/>
        </w:numPr>
        <w:spacing w:before="100" w:beforeAutospacing="1" w:after="100" w:afterAutospacing="1" w:line="276" w:lineRule="auto"/>
        <w:rPr>
          <w:rFonts w:eastAsia="Times New Roman" w:cs="Segoe UI"/>
          <w:kern w:val="0"/>
          <w14:ligatures w14:val="none"/>
        </w:rPr>
      </w:pPr>
      <w:r w:rsidRPr="00915310">
        <w:rPr>
          <w:b/>
          <w:bCs/>
        </w:rPr>
        <w:t>The Cyber-Physical Bridge:</w:t>
      </w:r>
      <w:r w:rsidR="00FB675E">
        <w:t xml:space="preserve"> </w:t>
      </w:r>
      <w:r w:rsidR="009E15F1" w:rsidRPr="00915310">
        <w:rPr>
          <w:rFonts w:eastAsia="Times New Roman" w:cs="Segoe UI"/>
          <w:kern w:val="0"/>
          <w14:ligatures w14:val="none"/>
        </w:rPr>
        <w:t>Organizations are also recognizing that threats to executives increasingly span both physical and digital realms. Adversaries often target senior leaders not only to gain physical access to facilities or private residences, but also to exploit personal digital footprints—harvesting data from compromised email, social media, travel disclosures, or family accounts to enable stalking, coercion, or further system intrusion.</w:t>
      </w:r>
    </w:p>
    <w:p w14:paraId="6C15D9D3" w14:textId="77777777" w:rsidR="009E15F1" w:rsidRPr="009C4CAD" w:rsidRDefault="009E15F1" w:rsidP="009C4CAD">
      <w:pPr>
        <w:spacing w:before="100" w:beforeAutospacing="1" w:after="100" w:afterAutospacing="1" w:line="276" w:lineRule="auto"/>
        <w:ind w:left="720"/>
        <w:rPr>
          <w:rFonts w:eastAsia="Times New Roman" w:cs="Segoe UI"/>
          <w:kern w:val="0"/>
          <w14:ligatures w14:val="none"/>
        </w:rPr>
      </w:pPr>
      <w:r w:rsidRPr="009C4CAD">
        <w:rPr>
          <w:rFonts w:eastAsia="Times New Roman" w:cs="Segoe UI"/>
          <w:kern w:val="0"/>
          <w14:ligatures w14:val="none"/>
        </w:rPr>
        <w:t>In response, organizations are complementing enhancements to physical security with strengthened “cyber</w:t>
      </w:r>
      <w:r w:rsidRPr="009C4CAD">
        <w:rPr>
          <w:rFonts w:eastAsia="Times New Roman" w:cs="Segoe UI"/>
          <w:kern w:val="0"/>
          <w14:ligatures w14:val="none"/>
        </w:rPr>
        <w:noBreakHyphen/>
        <w:t xml:space="preserve">shielding” for executives most likely to be targeted. This includes securing personal devices and accounts, reducing digital exposure through privacy controls, monitoring for doxing or impersonation activity, and aligning executive cyber protections with enterprise security teams. By addressing </w:t>
      </w:r>
      <w:r w:rsidRPr="009C4CAD">
        <w:rPr>
          <w:rFonts w:eastAsia="Times New Roman" w:cs="Segoe UI"/>
          <w:kern w:val="0"/>
          <w14:ligatures w14:val="none"/>
        </w:rPr>
        <w:lastRenderedPageBreak/>
        <w:t>cyber and physical threats as interconnected risks, organizations are closing a critical vulnerability that traditional security models often overlook.</w:t>
      </w:r>
    </w:p>
    <w:p w14:paraId="22B52A37" w14:textId="26C60287" w:rsidR="00743CE0" w:rsidRDefault="00E07A12" w:rsidP="00852C4E">
      <w:pPr>
        <w:pStyle w:val="ListParagraph"/>
        <w:numPr>
          <w:ilvl w:val="0"/>
          <w:numId w:val="5"/>
        </w:numPr>
      </w:pPr>
      <w:r w:rsidRPr="00B3098B">
        <w:rPr>
          <w:b/>
          <w:bCs/>
        </w:rPr>
        <w:t>Intelligence &amp; Social Media:</w:t>
      </w:r>
      <w:r>
        <w:t xml:space="preserve"> </w:t>
      </w:r>
      <w:r w:rsidR="00852C4E">
        <w:t>Organizations are m</w:t>
      </w:r>
      <w:r>
        <w:t>oving toward</w:t>
      </w:r>
      <w:r w:rsidR="00852C4E">
        <w:t>s</w:t>
      </w:r>
      <w:r>
        <w:t xml:space="preserve"> proactive monitoring </w:t>
      </w:r>
      <w:r w:rsidR="005E75A4">
        <w:t xml:space="preserve">of social media </w:t>
      </w:r>
      <w:r>
        <w:t xml:space="preserve">to detect threats before they manifest, </w:t>
      </w:r>
      <w:r w:rsidR="005E75A4">
        <w:t xml:space="preserve">and, when needed, responding with </w:t>
      </w:r>
      <w:r>
        <w:t>counter</w:t>
      </w:r>
      <w:r w:rsidR="009E15F1">
        <w:t>-m</w:t>
      </w:r>
      <w:r>
        <w:t>essaging to combat viral negativity that can incite violence.</w:t>
      </w:r>
      <w:r w:rsidR="00852C4E">
        <w:t xml:space="preserve"> </w:t>
      </w:r>
      <w:r w:rsidR="00743CE0">
        <w:t xml:space="preserve">The mention of social media monitoring is critical. Most physical attacks today leave a "digital breadcrumb trail" on fringe forums or social platforms. By monitoring sentiment, companies can identify </w:t>
      </w:r>
      <w:r w:rsidR="00E7062F">
        <w:t>“</w:t>
      </w:r>
      <w:r w:rsidR="00743CE0">
        <w:t>Person of Concern</w:t>
      </w:r>
      <w:proofErr w:type="gramStart"/>
      <w:r w:rsidR="00743CE0">
        <w:t>"  profiles</w:t>
      </w:r>
      <w:proofErr w:type="gramEnd"/>
      <w:r w:rsidR="00743CE0">
        <w:t>—disgruntled employees or customers—long before they show up at a corporate campus.</w:t>
      </w:r>
    </w:p>
    <w:p w14:paraId="53C42B19" w14:textId="709E1BF6" w:rsidR="00E07A12" w:rsidRPr="00FB675E" w:rsidRDefault="00FA5FC0" w:rsidP="00915310">
      <w:pPr>
        <w:pStyle w:val="Heading1"/>
      </w:pPr>
      <w:r>
        <w:t>Finding the Right Balance</w:t>
      </w:r>
    </w:p>
    <w:p w14:paraId="27B6336D" w14:textId="41F04BFB" w:rsidR="00E07A12" w:rsidRDefault="00E07A12" w:rsidP="00E07A12">
      <w:r>
        <w:t>Implementing these measures is not a simple procurement task; it involves complex internal friction</w:t>
      </w:r>
      <w:r w:rsidR="00754B20">
        <w:t>s such as</w:t>
      </w:r>
      <w:r>
        <w:t>:</w:t>
      </w:r>
    </w:p>
    <w:p w14:paraId="13DFB22B" w14:textId="155BC13F" w:rsidR="00E07A12" w:rsidRDefault="00E07A12" w:rsidP="00B3098B">
      <w:pPr>
        <w:pStyle w:val="ListParagraph"/>
        <w:numPr>
          <w:ilvl w:val="0"/>
          <w:numId w:val="6"/>
        </w:numPr>
      </w:pPr>
      <w:r w:rsidRPr="00B3098B">
        <w:rPr>
          <w:b/>
          <w:bCs/>
        </w:rPr>
        <w:t>Executive Pushback:</w:t>
      </w:r>
      <w:r>
        <w:t xml:space="preserve"> Leaders often resist "intrusive" security that disrupts their sense of normalcy or privacy.</w:t>
      </w:r>
      <w:r w:rsidR="00FA5FC0">
        <w:t xml:space="preserve">  Organizations </w:t>
      </w:r>
      <w:r w:rsidR="00E7062F">
        <w:t>must</w:t>
      </w:r>
      <w:r w:rsidR="00FA5FC0">
        <w:t xml:space="preserve"> walk a tightrope as they work to protect the safety of an executive and their families without </w:t>
      </w:r>
      <w:r w:rsidR="00852C4E">
        <w:t xml:space="preserve">overly </w:t>
      </w:r>
      <w:r w:rsidR="00FA5FC0">
        <w:t>inserting people and processes into the executive’s personal lives.</w:t>
      </w:r>
    </w:p>
    <w:p w14:paraId="324FF077" w14:textId="19367ACC" w:rsidR="00743CE0" w:rsidRDefault="00E07A12" w:rsidP="00B3098B">
      <w:pPr>
        <w:pStyle w:val="ListParagraph"/>
        <w:numPr>
          <w:ilvl w:val="0"/>
          <w:numId w:val="6"/>
        </w:numPr>
      </w:pPr>
      <w:r w:rsidRPr="00B3098B">
        <w:rPr>
          <w:b/>
          <w:bCs/>
        </w:rPr>
        <w:t>The Tax Compliance Conundrum:</w:t>
      </w:r>
      <w:r>
        <w:t xml:space="preserve"> Organizations must navigate whether enhanced security (bodyguards, home hardening) constitutes a taxable benefit/compensation to the executive or a necessary business expense.</w:t>
      </w:r>
      <w:r w:rsidR="00743CE0" w:rsidRPr="00743CE0">
        <w:t xml:space="preserve"> </w:t>
      </w:r>
      <w:r w:rsidR="00743CE0">
        <w:t>The question about tax implications reveals a shift in corporate governance. Historically, security was seen as a "perk." Today, if a CEO is targeted specifically because of their role at the company, providing protection is increasingly viewed as a fiduciary obligation to protect the company’s stability and its shareholders, rather than just a personal benefit for the individual.</w:t>
      </w:r>
    </w:p>
    <w:p w14:paraId="5A0DE70B" w14:textId="571EB99F" w:rsidR="00E07A12" w:rsidRDefault="00E07A12" w:rsidP="00B3098B">
      <w:pPr>
        <w:pStyle w:val="ListParagraph"/>
        <w:numPr>
          <w:ilvl w:val="0"/>
          <w:numId w:val="6"/>
        </w:numPr>
      </w:pPr>
      <w:r w:rsidRPr="00B3098B">
        <w:rPr>
          <w:b/>
          <w:bCs/>
        </w:rPr>
        <w:t>Open Access Vulnerabilities:</w:t>
      </w:r>
      <w:r>
        <w:t xml:space="preserve"> Institutions like universities face the unique challenge of protecting leadership while maintaining the "open campus" philosophy central to their mission.</w:t>
      </w:r>
      <w:r w:rsidR="00FA5FC0">
        <w:t xml:space="preserve"> Similarly, organizations are having to assess the extent that executive names and other information are shared in public settings, such as the organization’s website or conference agendas where executives might be speaking.</w:t>
      </w:r>
    </w:p>
    <w:p w14:paraId="1957C14F" w14:textId="77777777" w:rsidR="00E07A12" w:rsidRDefault="00E07A12" w:rsidP="00E07A12"/>
    <w:p w14:paraId="569FA2FA" w14:textId="75460681" w:rsidR="00E07A12" w:rsidRPr="00B3098B" w:rsidRDefault="00E07A12" w:rsidP="00915310">
      <w:pPr>
        <w:pStyle w:val="Heading1"/>
      </w:pPr>
      <w:r w:rsidRPr="00B3098B">
        <w:lastRenderedPageBreak/>
        <w:t>"All Rules are Written in Blood"</w:t>
      </w:r>
    </w:p>
    <w:p w14:paraId="5564F5B3" w14:textId="77777777" w:rsidR="00546734" w:rsidRDefault="00E07A12">
      <w:r>
        <w:t xml:space="preserve">This quote is a reminder of the reactive gap. The challenge for current security teams is to break this cycle—to write the rules in ink (data and foresight) </w:t>
      </w:r>
      <w:r w:rsidRPr="00B3098B">
        <w:rPr>
          <w:i/>
          <w:iCs/>
        </w:rPr>
        <w:t>before</w:t>
      </w:r>
      <w:r>
        <w:t xml:space="preserve"> they are forced to write them in blood. This requires a level of surveillance and "intrusive" monitoring that remains a point of contention between security teams and the executives they protect.</w:t>
      </w:r>
    </w:p>
    <w:p w14:paraId="0794E261" w14:textId="3A9FA70A" w:rsidR="00E07A12" w:rsidRDefault="00E07A12" w:rsidP="00E07A12">
      <w:r>
        <w:t>Below is a sample policy template designed to bridge the gap between corporate safety and executive lifestyle.</w:t>
      </w:r>
    </w:p>
    <w:tbl>
      <w:tblPr>
        <w:tblStyle w:val="TableGrid"/>
        <w:tblW w:w="0" w:type="auto"/>
        <w:tblCellMar>
          <w:top w:w="360" w:type="dxa"/>
          <w:left w:w="360" w:type="dxa"/>
          <w:bottom w:w="360" w:type="dxa"/>
          <w:right w:w="360" w:type="dxa"/>
        </w:tblCellMar>
        <w:tblLook w:val="04A0" w:firstRow="1" w:lastRow="0" w:firstColumn="1" w:lastColumn="0" w:noHBand="0" w:noVBand="1"/>
      </w:tblPr>
      <w:tblGrid>
        <w:gridCol w:w="9330"/>
      </w:tblGrid>
      <w:tr w:rsidR="00743CE0" w14:paraId="2F5D5E1F" w14:textId="77777777" w:rsidTr="00915310">
        <w:tc>
          <w:tcPr>
            <w:tcW w:w="9350" w:type="dxa"/>
            <w:tcBorders>
              <w:top w:val="double" w:sz="4" w:space="0" w:color="auto"/>
              <w:left w:val="double" w:sz="4" w:space="0" w:color="auto"/>
              <w:bottom w:val="double" w:sz="4" w:space="0" w:color="auto"/>
              <w:right w:val="double" w:sz="4" w:space="0" w:color="auto"/>
            </w:tcBorders>
          </w:tcPr>
          <w:p w14:paraId="74738A9D" w14:textId="0373AC83" w:rsidR="00042B92" w:rsidRPr="00915310" w:rsidRDefault="00743CE0" w:rsidP="00915310">
            <w:pPr>
              <w:pStyle w:val="Subtitle"/>
              <w:jc w:val="center"/>
              <w:rPr>
                <w:b/>
                <w:bCs/>
              </w:rPr>
            </w:pPr>
            <w:r w:rsidRPr="00915310">
              <w:rPr>
                <w:b/>
                <w:bCs/>
              </w:rPr>
              <w:t>Example Policy Statement</w:t>
            </w:r>
          </w:p>
          <w:p w14:paraId="384FAC7F" w14:textId="77777777" w:rsidR="00042B92" w:rsidRDefault="00042B92" w:rsidP="00743CE0">
            <w:pPr>
              <w:rPr>
                <w:b/>
                <w:bCs/>
              </w:rPr>
            </w:pPr>
          </w:p>
          <w:p w14:paraId="2BBEB9FD" w14:textId="4E47ECAE" w:rsidR="00743CE0" w:rsidRDefault="00743CE0" w:rsidP="00743CE0">
            <w:pPr>
              <w:rPr>
                <w:b/>
                <w:bCs/>
              </w:rPr>
            </w:pPr>
            <w:r w:rsidRPr="00754B20">
              <w:rPr>
                <w:b/>
                <w:bCs/>
              </w:rPr>
              <w:t>Executive Protection &amp; Risk Mitigation (EPRM)</w:t>
            </w:r>
          </w:p>
          <w:p w14:paraId="7B3FF20C" w14:textId="77777777" w:rsidR="00042B92" w:rsidRPr="00754B20" w:rsidRDefault="00042B92" w:rsidP="00743CE0">
            <w:pPr>
              <w:rPr>
                <w:b/>
                <w:bCs/>
              </w:rPr>
            </w:pPr>
          </w:p>
          <w:p w14:paraId="4EF1DE99" w14:textId="77777777" w:rsidR="00743CE0" w:rsidRPr="00D445E6" w:rsidRDefault="00743CE0" w:rsidP="00743CE0">
            <w:pPr>
              <w:rPr>
                <w:b/>
                <w:bCs/>
              </w:rPr>
            </w:pPr>
            <w:r w:rsidRPr="00D445E6">
              <w:rPr>
                <w:b/>
                <w:bCs/>
              </w:rPr>
              <w:t>1.</w:t>
            </w:r>
            <w:r>
              <w:rPr>
                <w:b/>
                <w:bCs/>
              </w:rPr>
              <w:t xml:space="preserve"> </w:t>
            </w:r>
            <w:r w:rsidRPr="00D445E6">
              <w:rPr>
                <w:b/>
                <w:bCs/>
              </w:rPr>
              <w:t>Purpose</w:t>
            </w:r>
          </w:p>
          <w:p w14:paraId="2FF57C8F" w14:textId="77777777" w:rsidR="00743CE0" w:rsidRDefault="00743CE0" w:rsidP="00915310">
            <w:r>
              <w:t>To establish a proactive framework for the physical and digital protection of Key Covered Individuals (KCIs). This policy aims to mitigate risks arising from corporate leadership roles, including targeted violence, harassment, and data exploitation, while ensuring fiscal and tax compliance.</w:t>
            </w:r>
          </w:p>
          <w:p w14:paraId="77B83FC8" w14:textId="77777777" w:rsidR="00743CE0" w:rsidRDefault="00743CE0" w:rsidP="00743CE0"/>
          <w:p w14:paraId="7273C095" w14:textId="77777777" w:rsidR="00743CE0" w:rsidRPr="00D445E6" w:rsidRDefault="00743CE0" w:rsidP="00743CE0">
            <w:pPr>
              <w:rPr>
                <w:b/>
                <w:bCs/>
              </w:rPr>
            </w:pPr>
            <w:r w:rsidRPr="00D445E6">
              <w:rPr>
                <w:b/>
                <w:bCs/>
              </w:rPr>
              <w:t>2. Covered Individuals</w:t>
            </w:r>
          </w:p>
          <w:p w14:paraId="5DB007BE" w14:textId="77777777" w:rsidR="00743CE0" w:rsidRDefault="00743CE0" w:rsidP="00B3098B">
            <w:pPr>
              <w:ind w:left="288"/>
            </w:pPr>
            <w:r w:rsidRPr="005A44E8">
              <w:rPr>
                <w:b/>
                <w:bCs/>
              </w:rPr>
              <w:t>Tier 1:</w:t>
            </w:r>
            <w:r>
              <w:t xml:space="preserve"> CEO, Board Members, and C-Suite Executives.</w:t>
            </w:r>
          </w:p>
          <w:p w14:paraId="4525E85A" w14:textId="77777777" w:rsidR="00743CE0" w:rsidRDefault="00743CE0" w:rsidP="00B3098B">
            <w:pPr>
              <w:ind w:left="288"/>
            </w:pPr>
            <w:r w:rsidRPr="005A44E8">
              <w:rPr>
                <w:b/>
                <w:bCs/>
              </w:rPr>
              <w:t>Tier 2:</w:t>
            </w:r>
            <w:r>
              <w:t xml:space="preserve"> High-profile SVPs or employees designated by the Risk Committee due to specific threats (e.g., field teams in hostile areas).</w:t>
            </w:r>
          </w:p>
          <w:p w14:paraId="5A4FA6DA" w14:textId="77777777" w:rsidR="00743CE0" w:rsidRDefault="00743CE0" w:rsidP="00743CE0"/>
          <w:p w14:paraId="3CC0D116" w14:textId="77777777" w:rsidR="00743CE0" w:rsidRPr="00D445E6" w:rsidRDefault="00743CE0" w:rsidP="00743CE0">
            <w:pPr>
              <w:rPr>
                <w:b/>
                <w:bCs/>
              </w:rPr>
            </w:pPr>
            <w:r w:rsidRPr="00D445E6">
              <w:rPr>
                <w:b/>
                <w:bCs/>
              </w:rPr>
              <w:t>3. Physical Security Protocols</w:t>
            </w:r>
          </w:p>
          <w:p w14:paraId="087394F0" w14:textId="77777777" w:rsidR="00042B92" w:rsidRDefault="00042B92" w:rsidP="00743CE0">
            <w:pPr>
              <w:rPr>
                <w:i/>
                <w:iCs/>
              </w:rPr>
            </w:pPr>
          </w:p>
          <w:p w14:paraId="4C22154E" w14:textId="502A7912" w:rsidR="00743CE0" w:rsidRPr="00B3098B" w:rsidRDefault="00743CE0" w:rsidP="00915310">
            <w:pPr>
              <w:ind w:left="288"/>
              <w:rPr>
                <w:i/>
                <w:iCs/>
              </w:rPr>
            </w:pPr>
            <w:r w:rsidRPr="00B3098B">
              <w:rPr>
                <w:i/>
                <w:iCs/>
              </w:rPr>
              <w:t>3.1 Corporate Campus &amp; Executive Suites</w:t>
            </w:r>
          </w:p>
          <w:p w14:paraId="529822C8" w14:textId="77777777" w:rsidR="00743CE0" w:rsidRDefault="00743CE0" w:rsidP="00915310">
            <w:pPr>
              <w:ind w:left="576"/>
            </w:pPr>
            <w:r w:rsidRPr="005A44E8">
              <w:rPr>
                <w:b/>
                <w:bCs/>
              </w:rPr>
              <w:t>Access Control:</w:t>
            </w:r>
            <w:r>
              <w:t xml:space="preserve"> Mandatory badge-in procedures for all executive floors; implementation of "tailgating" detection sensors.</w:t>
            </w:r>
          </w:p>
          <w:p w14:paraId="317B3D81" w14:textId="77777777" w:rsidR="00743CE0" w:rsidRDefault="00743CE0" w:rsidP="00915310">
            <w:pPr>
              <w:ind w:left="576"/>
            </w:pPr>
            <w:r w:rsidRPr="005A44E8">
              <w:rPr>
                <w:b/>
                <w:bCs/>
              </w:rPr>
              <w:t>Armed Presence:</w:t>
            </w:r>
            <w:r>
              <w:t xml:space="preserve"> Deployment of discreet, professionally trained armed security in common executive areas during high-risk periods.</w:t>
            </w:r>
          </w:p>
          <w:p w14:paraId="5FF35873" w14:textId="77777777" w:rsidR="00743CE0" w:rsidRPr="00B3098B" w:rsidRDefault="00743CE0" w:rsidP="00915310">
            <w:pPr>
              <w:ind w:left="288"/>
              <w:rPr>
                <w:i/>
                <w:iCs/>
              </w:rPr>
            </w:pPr>
            <w:r w:rsidRPr="00B3098B">
              <w:rPr>
                <w:i/>
                <w:iCs/>
              </w:rPr>
              <w:t>3.2 Personal &amp; Residential Hardening</w:t>
            </w:r>
          </w:p>
          <w:p w14:paraId="159524C6" w14:textId="77777777" w:rsidR="00743CE0" w:rsidRDefault="00743CE0" w:rsidP="00915310">
            <w:pPr>
              <w:ind w:left="576"/>
            </w:pPr>
            <w:r w:rsidRPr="005A44E8">
              <w:rPr>
                <w:b/>
                <w:bCs/>
              </w:rPr>
              <w:t>Residential Assessment:</w:t>
            </w:r>
            <w:r>
              <w:t xml:space="preserve"> Regular security audits of the KCI’s primary residence (lighting, cameras, entry point reinforcement).</w:t>
            </w:r>
          </w:p>
          <w:p w14:paraId="15B0701D" w14:textId="77777777" w:rsidR="00743CE0" w:rsidRDefault="00743CE0" w:rsidP="00915310">
            <w:pPr>
              <w:ind w:left="576"/>
            </w:pPr>
            <w:r w:rsidRPr="005A44E8">
              <w:rPr>
                <w:b/>
                <w:bCs/>
              </w:rPr>
              <w:t>The "Altman" Clause:</w:t>
            </w:r>
            <w:r>
              <w:t xml:space="preserve"> Authorization for emergency rapid-response teams in the event of civil unrest or specific targeted threats (e.g., firebombing or protests at private residences).</w:t>
            </w:r>
          </w:p>
          <w:p w14:paraId="2CC9B425" w14:textId="77777777" w:rsidR="00743CE0" w:rsidRPr="00B3098B" w:rsidRDefault="00743CE0" w:rsidP="00915310">
            <w:pPr>
              <w:ind w:left="288"/>
              <w:rPr>
                <w:i/>
                <w:iCs/>
              </w:rPr>
            </w:pPr>
            <w:r w:rsidRPr="00B3098B">
              <w:rPr>
                <w:i/>
                <w:iCs/>
              </w:rPr>
              <w:t>3.3 Travel &amp; Logistics</w:t>
            </w:r>
          </w:p>
          <w:p w14:paraId="5110BE57" w14:textId="7C115D4F" w:rsidR="00743CE0" w:rsidRDefault="00743CE0" w:rsidP="00915310">
            <w:pPr>
              <w:ind w:left="576"/>
            </w:pPr>
            <w:r w:rsidRPr="005A44E8">
              <w:rPr>
                <w:b/>
                <w:bCs/>
              </w:rPr>
              <w:t xml:space="preserve">Advance </w:t>
            </w:r>
            <w:r w:rsidR="00E7062F" w:rsidRPr="005A44E8">
              <w:rPr>
                <w:b/>
                <w:bCs/>
              </w:rPr>
              <w:t>Reconn</w:t>
            </w:r>
            <w:r w:rsidR="00E7062F">
              <w:rPr>
                <w:b/>
                <w:bCs/>
              </w:rPr>
              <w:t>aissance</w:t>
            </w:r>
            <w:r w:rsidRPr="005A44E8">
              <w:rPr>
                <w:b/>
                <w:bCs/>
              </w:rPr>
              <w:t>:</w:t>
            </w:r>
            <w:r>
              <w:t xml:space="preserve"> Security teams must vet hotels and transit routes for international travel.</w:t>
            </w:r>
          </w:p>
          <w:p w14:paraId="0A62F3B7" w14:textId="77777777" w:rsidR="00743CE0" w:rsidRDefault="00743CE0" w:rsidP="00915310">
            <w:pPr>
              <w:ind w:left="576"/>
            </w:pPr>
            <w:r w:rsidRPr="005A44E8">
              <w:rPr>
                <w:b/>
                <w:bCs/>
              </w:rPr>
              <w:lastRenderedPageBreak/>
              <w:t>Secure Transport:</w:t>
            </w:r>
            <w:r>
              <w:t xml:space="preserve"> Use of vetted drivers and, where necessary, armored vehicles for high-risk jurisdictions.</w:t>
            </w:r>
          </w:p>
          <w:p w14:paraId="5D05766C" w14:textId="77777777" w:rsidR="00042B92" w:rsidRDefault="00042B92" w:rsidP="00743CE0">
            <w:pPr>
              <w:rPr>
                <w:b/>
                <w:bCs/>
              </w:rPr>
            </w:pPr>
          </w:p>
          <w:p w14:paraId="112C5A5F" w14:textId="5CFC7AF2" w:rsidR="00743CE0" w:rsidRPr="00D445E6" w:rsidRDefault="00743CE0" w:rsidP="00743CE0">
            <w:pPr>
              <w:rPr>
                <w:b/>
                <w:bCs/>
              </w:rPr>
            </w:pPr>
            <w:r w:rsidRPr="00D445E6">
              <w:rPr>
                <w:b/>
                <w:bCs/>
              </w:rPr>
              <w:t>4. Digital &amp; Intelligence Monitoring</w:t>
            </w:r>
          </w:p>
          <w:p w14:paraId="4FA111EF" w14:textId="77777777" w:rsidR="00042B92" w:rsidRDefault="00042B92" w:rsidP="00743CE0">
            <w:pPr>
              <w:rPr>
                <w:i/>
                <w:iCs/>
              </w:rPr>
            </w:pPr>
          </w:p>
          <w:p w14:paraId="6D93AC66" w14:textId="2CFF0CF6" w:rsidR="00743CE0" w:rsidRPr="00B3098B" w:rsidRDefault="00743CE0" w:rsidP="00915310">
            <w:pPr>
              <w:ind w:left="288"/>
              <w:rPr>
                <w:i/>
                <w:iCs/>
              </w:rPr>
            </w:pPr>
            <w:r w:rsidRPr="00B3098B">
              <w:rPr>
                <w:i/>
                <w:iCs/>
              </w:rPr>
              <w:t>4.1 Proactive Sentiment Analysis</w:t>
            </w:r>
          </w:p>
          <w:p w14:paraId="5549C69B" w14:textId="41358E38" w:rsidR="00743CE0" w:rsidRDefault="00743CE0" w:rsidP="00915310">
            <w:pPr>
              <w:ind w:left="576"/>
            </w:pPr>
            <w:r w:rsidRPr="005A44E8">
              <w:rPr>
                <w:b/>
                <w:bCs/>
              </w:rPr>
              <w:t xml:space="preserve">Social Media Listening: </w:t>
            </w:r>
            <w:r>
              <w:t>Continuous monitoring of public forums and social platforms for "Person of Concern" mentions, disgruntled employee rhetoric, and "applause" for violent sentiment.</w:t>
            </w:r>
          </w:p>
          <w:p w14:paraId="0A550466" w14:textId="77777777" w:rsidR="00743CE0" w:rsidRDefault="00743CE0" w:rsidP="00915310">
            <w:pPr>
              <w:ind w:left="576"/>
            </w:pPr>
            <w:r w:rsidRPr="005A44E8">
              <w:rPr>
                <w:b/>
                <w:bCs/>
              </w:rPr>
              <w:t>Threat Intelligence:</w:t>
            </w:r>
            <w:r>
              <w:t xml:space="preserve"> Engagement of third-party analysts to monitor the Dark Web for leaked PII (Personally Identifiable Information) or doxing attempts.</w:t>
            </w:r>
          </w:p>
          <w:p w14:paraId="7A967998" w14:textId="77777777" w:rsidR="00743CE0" w:rsidRPr="00B3098B" w:rsidRDefault="00743CE0" w:rsidP="00915310">
            <w:pPr>
              <w:ind w:left="288"/>
              <w:rPr>
                <w:i/>
                <w:iCs/>
              </w:rPr>
            </w:pPr>
            <w:r w:rsidRPr="00B3098B">
              <w:rPr>
                <w:i/>
                <w:iCs/>
              </w:rPr>
              <w:t>4.2 Cyber-Shielding</w:t>
            </w:r>
          </w:p>
          <w:p w14:paraId="79C3B36D" w14:textId="77777777" w:rsidR="00743CE0" w:rsidRDefault="00743CE0" w:rsidP="00915310">
            <w:pPr>
              <w:ind w:left="576"/>
            </w:pPr>
            <w:r w:rsidRPr="005A44E8">
              <w:rPr>
                <w:b/>
                <w:bCs/>
              </w:rPr>
              <w:t>Device Isolation:</w:t>
            </w:r>
            <w:r>
              <w:t xml:space="preserve"> Executives must use company-issued, hardened mobile devices.</w:t>
            </w:r>
          </w:p>
          <w:p w14:paraId="63C75C80" w14:textId="77777777" w:rsidR="00743CE0" w:rsidRDefault="00743CE0" w:rsidP="00915310">
            <w:pPr>
              <w:ind w:left="576"/>
            </w:pPr>
            <w:r w:rsidRPr="005A44E8">
              <w:rPr>
                <w:b/>
                <w:bCs/>
              </w:rPr>
              <w:t>Personal Privacy:</w:t>
            </w:r>
            <w:r>
              <w:t xml:space="preserve"> Mandatory removal of the KCI’s home address from public data-broker sites to prevent doxing.</w:t>
            </w:r>
          </w:p>
          <w:p w14:paraId="723476BC" w14:textId="77777777" w:rsidR="00743CE0" w:rsidRDefault="00743CE0" w:rsidP="00743CE0"/>
          <w:p w14:paraId="61BBFB23" w14:textId="77777777" w:rsidR="00743CE0" w:rsidRPr="00D445E6" w:rsidRDefault="00743CE0" w:rsidP="00743CE0">
            <w:pPr>
              <w:rPr>
                <w:b/>
                <w:bCs/>
              </w:rPr>
            </w:pPr>
            <w:r w:rsidRPr="00D445E6">
              <w:rPr>
                <w:b/>
                <w:bCs/>
              </w:rPr>
              <w:t>5. Compliance &amp; Administration</w:t>
            </w:r>
          </w:p>
          <w:p w14:paraId="2C537BF8" w14:textId="77777777" w:rsidR="00042B92" w:rsidRDefault="00042B92" w:rsidP="00743CE0">
            <w:pPr>
              <w:rPr>
                <w:i/>
                <w:iCs/>
              </w:rPr>
            </w:pPr>
          </w:p>
          <w:p w14:paraId="039E5CD6" w14:textId="0619F187" w:rsidR="00743CE0" w:rsidRPr="00B3098B" w:rsidRDefault="00743CE0" w:rsidP="00915310">
            <w:pPr>
              <w:ind w:left="288"/>
              <w:rPr>
                <w:i/>
                <w:iCs/>
              </w:rPr>
            </w:pPr>
            <w:r w:rsidRPr="00B3098B">
              <w:rPr>
                <w:i/>
                <w:iCs/>
              </w:rPr>
              <w:t>5.1 Tax Treatment &amp; Fiduciary Duty</w:t>
            </w:r>
          </w:p>
          <w:p w14:paraId="6D5C3F87" w14:textId="77777777" w:rsidR="00743CE0" w:rsidRDefault="00743CE0" w:rsidP="00915310">
            <w:pPr>
              <w:ind w:left="576"/>
            </w:pPr>
            <w:r w:rsidRPr="005A44E8">
              <w:rPr>
                <w:b/>
                <w:bCs/>
              </w:rPr>
              <w:t>Business Necessity:</w:t>
            </w:r>
            <w:r>
              <w:t xml:space="preserve"> To avoid being classified as taxable compensation, security measures must be supported by a formal written security study or a "Bow Tie Analysis" proving a "bona fide business-oriented security concern" (per IRS/local tax regulations).</w:t>
            </w:r>
          </w:p>
          <w:p w14:paraId="06FE0A51" w14:textId="77777777" w:rsidR="00743CE0" w:rsidRDefault="00743CE0" w:rsidP="00915310">
            <w:pPr>
              <w:ind w:left="576"/>
            </w:pPr>
            <w:r w:rsidRPr="005A44E8">
              <w:rPr>
                <w:b/>
                <w:bCs/>
              </w:rPr>
              <w:t>Annual Review:</w:t>
            </w:r>
            <w:r>
              <w:t xml:space="preserve"> The Board shall review the threat landscape annually to justify the continuation of protective services.</w:t>
            </w:r>
          </w:p>
          <w:p w14:paraId="5ADE8B08" w14:textId="77777777" w:rsidR="00743CE0" w:rsidRPr="00B3098B" w:rsidRDefault="00743CE0" w:rsidP="00915310">
            <w:pPr>
              <w:ind w:left="288"/>
              <w:rPr>
                <w:i/>
                <w:iCs/>
              </w:rPr>
            </w:pPr>
            <w:r w:rsidRPr="00B3098B">
              <w:rPr>
                <w:i/>
                <w:iCs/>
              </w:rPr>
              <w:t>5.2 Executive Cooperation (The "Friction" Clause)</w:t>
            </w:r>
          </w:p>
          <w:p w14:paraId="2688A84B" w14:textId="77777777" w:rsidR="00743CE0" w:rsidRDefault="00743CE0" w:rsidP="00915310">
            <w:pPr>
              <w:ind w:left="576"/>
            </w:pPr>
            <w:r>
              <w:t>While security aims to be unobtrusive, KCIs agree to adhere to policy—non-negotiable safety protocols (e.g., using secure transit, reporting threats immediately) as a condition of their leadership role and the company's liability coverage.</w:t>
            </w:r>
          </w:p>
          <w:p w14:paraId="63AD1EC9" w14:textId="77777777" w:rsidR="00743CE0" w:rsidRDefault="00743CE0" w:rsidP="00743CE0"/>
          <w:p w14:paraId="0382E12F" w14:textId="77777777" w:rsidR="00743CE0" w:rsidRPr="00D445E6" w:rsidRDefault="00743CE0" w:rsidP="00743CE0">
            <w:pPr>
              <w:rPr>
                <w:b/>
                <w:bCs/>
              </w:rPr>
            </w:pPr>
            <w:r w:rsidRPr="00D445E6">
              <w:rPr>
                <w:b/>
                <w:bCs/>
              </w:rPr>
              <w:t>6. Incident Response</w:t>
            </w:r>
          </w:p>
          <w:p w14:paraId="4F058B96" w14:textId="64229866" w:rsidR="00743CE0" w:rsidRDefault="00743CE0" w:rsidP="00B3098B">
            <w:pPr>
              <w:ind w:left="288"/>
            </w:pPr>
            <w:r>
              <w:t xml:space="preserve">In the event of a "Red Alert" (direct threat or physical breach), the </w:t>
            </w:r>
            <w:r w:rsidR="00852C4E">
              <w:t>“</w:t>
            </w:r>
            <w:r>
              <w:t>Emergency Executive Response Team (EERT)</w:t>
            </w:r>
            <w:r w:rsidR="00852C4E">
              <w:t>”</w:t>
            </w:r>
            <w:r>
              <w:t xml:space="preserve"> will assume command of the KCI’s movements until the threat is neutralized by law enforcement or private security.</w:t>
            </w:r>
          </w:p>
          <w:p w14:paraId="65DB767C" w14:textId="77777777" w:rsidR="00743CE0" w:rsidRDefault="00743CE0" w:rsidP="00E07A12"/>
        </w:tc>
      </w:tr>
    </w:tbl>
    <w:p w14:paraId="36CE0394" w14:textId="3B9CDC0F" w:rsidR="00E07A12" w:rsidRDefault="00E07A12" w:rsidP="00743CE0"/>
    <w:p w14:paraId="0108BE4E" w14:textId="77777777" w:rsidR="00915310" w:rsidRPr="00EF1979" w:rsidRDefault="00915310" w:rsidP="00915310">
      <w:pPr>
        <w:pStyle w:val="Heading1"/>
      </w:pPr>
      <w:r w:rsidRPr="00EF1979">
        <w:lastRenderedPageBreak/>
        <w:t>ABOUT THE AUTHOR</w:t>
      </w:r>
    </w:p>
    <w:p w14:paraId="4779586E" w14:textId="77777777" w:rsidR="00915310" w:rsidRPr="00EF1979" w:rsidRDefault="00915310" w:rsidP="00915310">
      <w:pPr>
        <w:rPr>
          <w:b/>
          <w:bCs/>
        </w:rPr>
      </w:pPr>
      <w:proofErr w:type="gramStart"/>
      <w:r w:rsidRPr="00EF1979">
        <w:rPr>
          <w:b/>
          <w:bCs/>
        </w:rPr>
        <w:t>Bruce C. Branson,</w:t>
      </w:r>
      <w:proofErr w:type="gramEnd"/>
      <w:r w:rsidRPr="00EF1979">
        <w:rPr>
          <w:b/>
          <w:bCs/>
        </w:rPr>
        <w:t xml:space="preserve"> </w:t>
      </w:r>
      <w:r w:rsidRPr="00EF1979">
        <w:t xml:space="preserve">is an Alumni Distinguished Professor of Accounting and Associate Director of the ERM Initiative in the Poole College of Management at NC State University. His teaching and research </w:t>
      </w:r>
      <w:proofErr w:type="gramStart"/>
      <w:r w:rsidRPr="00EF1979">
        <w:t>is</w:t>
      </w:r>
      <w:proofErr w:type="gramEnd"/>
      <w:r w:rsidRPr="00EF1979">
        <w:t xml:space="preserve"> focused on enterprise risk management and ﬁnancial reporting and includes an interest in the use of derivative securities and other hedging strategies for risk reduction/risk sharing. He also has examined the use of various forecasting and simulation tools to form expectations used in ﬁnancial statement audits and in earnings forecasting research. He earned his Ph.D. at Florida State University.</w:t>
      </w:r>
    </w:p>
    <w:p w14:paraId="1542403E" w14:textId="77777777" w:rsidR="00915310" w:rsidRPr="00EF1979" w:rsidRDefault="00915310" w:rsidP="00915310">
      <w:pPr>
        <w:pStyle w:val="Heading1"/>
      </w:pPr>
      <w:r w:rsidRPr="00EF1979">
        <w:t>About North Carolina State University’s Enterprise Risk Management (ERM) Initiative</w:t>
      </w:r>
    </w:p>
    <w:p w14:paraId="1CD0A329" w14:textId="77777777" w:rsidR="00B90301" w:rsidRPr="00440B78" w:rsidRDefault="00B90301" w:rsidP="00B90301">
      <w:pPr>
        <w:rPr>
          <w:rFonts w:ascii="Aptos Display" w:hAnsi="Aptos Display" w:cs="Times New Roman"/>
        </w:rPr>
      </w:pPr>
      <w:r w:rsidRPr="006D10DE">
        <w:rPr>
          <w:rFonts w:ascii="Aptos Display" w:hAnsi="Aptos Display" w:cs="Times New Roman"/>
        </w:rPr>
        <w:t>The Enterprise Risk Management (ERM) Initiative in the Poole College of Management at North Carolina State University provides thought leadership about ERM practices and their integration with strategy and corporate governance. Faculty in the ERM Initiative fre</w:t>
      </w:r>
      <w:r w:rsidRPr="006D10DE">
        <w:rPr>
          <w:rFonts w:ascii="Aptos Display" w:hAnsi="Aptos Display" w:cs="Times New Roman"/>
        </w:rPr>
        <w:softHyphen/>
        <w:t>quently work with boards of directors and senior management teams helping them link ERM to strategy and governance, host executive workshops and educational training sessions, and issue research and thought papers on practical approaches to implementing more effective risk oversight techniques (</w:t>
      </w:r>
      <w:hyperlink r:id="rId5" w:history="1">
        <w:r w:rsidRPr="006D10DE">
          <w:rPr>
            <w:rStyle w:val="Hyperlink"/>
            <w:rFonts w:ascii="Aptos Display" w:hAnsi="Aptos Display" w:cs="Times New Roman"/>
          </w:rPr>
          <w:t>www.erm.ncsu.edu</w:t>
        </w:r>
      </w:hyperlink>
      <w:r w:rsidRPr="006D10DE">
        <w:rPr>
          <w:rFonts w:ascii="Aptos Display" w:hAnsi="Aptos Display" w:cs="Times New Roman"/>
          <w:u w:val="single"/>
        </w:rPr>
        <w:t>)</w:t>
      </w:r>
      <w:r w:rsidRPr="006D10DE">
        <w:rPr>
          <w:rFonts w:ascii="Aptos Display" w:hAnsi="Aptos Display" w:cs="Times New Roman"/>
        </w:rPr>
        <w:t>.</w:t>
      </w:r>
    </w:p>
    <w:p w14:paraId="7086DE3D" w14:textId="77777777" w:rsidR="00915310" w:rsidRDefault="00915310" w:rsidP="00743CE0"/>
    <w:sectPr w:rsidR="009153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9246C"/>
    <w:multiLevelType w:val="hybridMultilevel"/>
    <w:tmpl w:val="28E07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87398"/>
    <w:multiLevelType w:val="hybridMultilevel"/>
    <w:tmpl w:val="59AC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11062"/>
    <w:multiLevelType w:val="hybridMultilevel"/>
    <w:tmpl w:val="B1CA1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5B27E5"/>
    <w:multiLevelType w:val="hybridMultilevel"/>
    <w:tmpl w:val="825A2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C253BB"/>
    <w:multiLevelType w:val="hybridMultilevel"/>
    <w:tmpl w:val="0B22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6270C"/>
    <w:multiLevelType w:val="hybridMultilevel"/>
    <w:tmpl w:val="7BF4C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172606">
    <w:abstractNumId w:val="4"/>
  </w:num>
  <w:num w:numId="2" w16cid:durableId="750276380">
    <w:abstractNumId w:val="5"/>
  </w:num>
  <w:num w:numId="3" w16cid:durableId="2144496026">
    <w:abstractNumId w:val="0"/>
  </w:num>
  <w:num w:numId="4" w16cid:durableId="772823718">
    <w:abstractNumId w:val="2"/>
  </w:num>
  <w:num w:numId="5" w16cid:durableId="588463707">
    <w:abstractNumId w:val="3"/>
  </w:num>
  <w:num w:numId="6" w16cid:durableId="1747991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12"/>
    <w:rsid w:val="00042B92"/>
    <w:rsid w:val="00092E33"/>
    <w:rsid w:val="000D054E"/>
    <w:rsid w:val="000D3C07"/>
    <w:rsid w:val="00117A06"/>
    <w:rsid w:val="001E6843"/>
    <w:rsid w:val="00335729"/>
    <w:rsid w:val="00494495"/>
    <w:rsid w:val="004E3B26"/>
    <w:rsid w:val="00546734"/>
    <w:rsid w:val="0056491C"/>
    <w:rsid w:val="005E75A4"/>
    <w:rsid w:val="00735136"/>
    <w:rsid w:val="00743CE0"/>
    <w:rsid w:val="00754B20"/>
    <w:rsid w:val="00776BB1"/>
    <w:rsid w:val="007F5F27"/>
    <w:rsid w:val="00852C4E"/>
    <w:rsid w:val="008D53D9"/>
    <w:rsid w:val="008E6664"/>
    <w:rsid w:val="00915310"/>
    <w:rsid w:val="00920F58"/>
    <w:rsid w:val="009C4CAD"/>
    <w:rsid w:val="009E15F1"/>
    <w:rsid w:val="00A0106F"/>
    <w:rsid w:val="00A22AE0"/>
    <w:rsid w:val="00AB4A46"/>
    <w:rsid w:val="00B3098B"/>
    <w:rsid w:val="00B90301"/>
    <w:rsid w:val="00D127A3"/>
    <w:rsid w:val="00D445E6"/>
    <w:rsid w:val="00E07A12"/>
    <w:rsid w:val="00E7062F"/>
    <w:rsid w:val="00FA5FC0"/>
    <w:rsid w:val="00FB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20FD"/>
  <w15:chartTrackingRefBased/>
  <w15:docId w15:val="{E039BD94-ADDC-433D-B62E-BE70D510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7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A12"/>
    <w:rPr>
      <w:rFonts w:eastAsiaTheme="majorEastAsia" w:cstheme="majorBidi"/>
      <w:color w:val="272727" w:themeColor="text1" w:themeTint="D8"/>
    </w:rPr>
  </w:style>
  <w:style w:type="paragraph" w:styleId="Title">
    <w:name w:val="Title"/>
    <w:basedOn w:val="Normal"/>
    <w:next w:val="Normal"/>
    <w:link w:val="TitleChar"/>
    <w:uiPriority w:val="10"/>
    <w:qFormat/>
    <w:rsid w:val="00E07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A12"/>
    <w:pPr>
      <w:spacing w:before="160"/>
      <w:jc w:val="center"/>
    </w:pPr>
    <w:rPr>
      <w:i/>
      <w:iCs/>
      <w:color w:val="404040" w:themeColor="text1" w:themeTint="BF"/>
    </w:rPr>
  </w:style>
  <w:style w:type="character" w:customStyle="1" w:styleId="QuoteChar">
    <w:name w:val="Quote Char"/>
    <w:basedOn w:val="DefaultParagraphFont"/>
    <w:link w:val="Quote"/>
    <w:uiPriority w:val="29"/>
    <w:rsid w:val="00E07A12"/>
    <w:rPr>
      <w:i/>
      <w:iCs/>
      <w:color w:val="404040" w:themeColor="text1" w:themeTint="BF"/>
    </w:rPr>
  </w:style>
  <w:style w:type="paragraph" w:styleId="ListParagraph">
    <w:name w:val="List Paragraph"/>
    <w:basedOn w:val="Normal"/>
    <w:uiPriority w:val="34"/>
    <w:qFormat/>
    <w:rsid w:val="00E07A12"/>
    <w:pPr>
      <w:ind w:left="720"/>
      <w:contextualSpacing/>
    </w:pPr>
  </w:style>
  <w:style w:type="character" w:styleId="IntenseEmphasis">
    <w:name w:val="Intense Emphasis"/>
    <w:basedOn w:val="DefaultParagraphFont"/>
    <w:uiPriority w:val="21"/>
    <w:qFormat/>
    <w:rsid w:val="00E07A12"/>
    <w:rPr>
      <w:i/>
      <w:iCs/>
      <w:color w:val="0F4761" w:themeColor="accent1" w:themeShade="BF"/>
    </w:rPr>
  </w:style>
  <w:style w:type="paragraph" w:styleId="IntenseQuote">
    <w:name w:val="Intense Quote"/>
    <w:basedOn w:val="Normal"/>
    <w:next w:val="Normal"/>
    <w:link w:val="IntenseQuoteChar"/>
    <w:uiPriority w:val="30"/>
    <w:qFormat/>
    <w:rsid w:val="00E07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A12"/>
    <w:rPr>
      <w:i/>
      <w:iCs/>
      <w:color w:val="0F4761" w:themeColor="accent1" w:themeShade="BF"/>
    </w:rPr>
  </w:style>
  <w:style w:type="character" w:styleId="IntenseReference">
    <w:name w:val="Intense Reference"/>
    <w:basedOn w:val="DefaultParagraphFont"/>
    <w:uiPriority w:val="32"/>
    <w:qFormat/>
    <w:rsid w:val="00E07A12"/>
    <w:rPr>
      <w:b/>
      <w:bCs/>
      <w:smallCaps/>
      <w:color w:val="0F4761" w:themeColor="accent1" w:themeShade="BF"/>
      <w:spacing w:val="5"/>
    </w:rPr>
  </w:style>
  <w:style w:type="paragraph" w:styleId="Revision">
    <w:name w:val="Revision"/>
    <w:hidden/>
    <w:uiPriority w:val="99"/>
    <w:semiHidden/>
    <w:rsid w:val="000D3C07"/>
    <w:pPr>
      <w:spacing w:after="0" w:line="240" w:lineRule="auto"/>
    </w:pPr>
  </w:style>
  <w:style w:type="table" w:styleId="TableGrid">
    <w:name w:val="Table Grid"/>
    <w:basedOn w:val="TableNormal"/>
    <w:uiPriority w:val="39"/>
    <w:rsid w:val="00743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E15F1"/>
    <w:rPr>
      <w:rFonts w:ascii="Times New Roman" w:hAnsi="Times New Roman" w:cs="Times New Roman"/>
    </w:rPr>
  </w:style>
  <w:style w:type="character" w:styleId="SubtleReference">
    <w:name w:val="Subtle Reference"/>
    <w:basedOn w:val="DefaultParagraphFont"/>
    <w:uiPriority w:val="31"/>
    <w:qFormat/>
    <w:rsid w:val="00915310"/>
    <w:rPr>
      <w:smallCaps/>
      <w:color w:val="5A5A5A" w:themeColor="text1" w:themeTint="A5"/>
    </w:rPr>
  </w:style>
  <w:style w:type="character" w:styleId="Hyperlink">
    <w:name w:val="Hyperlink"/>
    <w:basedOn w:val="DefaultParagraphFont"/>
    <w:uiPriority w:val="99"/>
    <w:unhideWhenUsed/>
    <w:rsid w:val="00B9030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wolftech.ad.ncsu.edu\com\Share\Depts\ERM%20Initiative%20Files\Faculty%20Articles%20and%20Papers\BONNIE%20HANCOCK\www.erm.nc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 Branson</dc:creator>
  <cp:keywords/>
  <dc:description/>
  <cp:lastModifiedBy>Thuy Nguyen</cp:lastModifiedBy>
  <cp:revision>4</cp:revision>
  <dcterms:created xsi:type="dcterms:W3CDTF">2026-05-08T15:35:00Z</dcterms:created>
  <dcterms:modified xsi:type="dcterms:W3CDTF">2026-06-24T13:54:00Z</dcterms:modified>
</cp:coreProperties>
</file>